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D706" w14:textId="0B7EFBC8" w:rsidR="00A14FC0" w:rsidRPr="00CB7ACF" w:rsidRDefault="009A0563" w:rsidP="000D1469">
      <w:pPr>
        <w:shd w:val="clear" w:color="auto" w:fill="FFFFFF"/>
        <w:spacing w:after="360" w:line="240" w:lineRule="auto"/>
        <w:ind w:right="-144"/>
        <w:jc w:val="both"/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</w:pPr>
      <w:bookmarkStart w:id="0" w:name="_Toc26359369"/>
      <w:r>
        <w:rPr>
          <w:rFonts w:ascii="IberPangea Text" w:eastAsia="Times New Roman" w:hAnsi="IberPangea Text" w:cs="IberPangea Text"/>
          <w:b/>
          <w:bCs/>
          <w:noProof/>
          <w:color w:val="00A343"/>
          <w:sz w:val="40"/>
          <w:szCs w:val="40"/>
          <w:lang w:eastAsia="es-ES"/>
        </w:rPr>
        <w:drawing>
          <wp:anchor distT="0" distB="0" distL="114300" distR="114300" simplePos="0" relativeHeight="251658240" behindDoc="1" locked="0" layoutInCell="1" allowOverlap="1" wp14:anchorId="5651CBE1" wp14:editId="0CFC64CE">
            <wp:simplePos x="0" y="0"/>
            <wp:positionH relativeFrom="column">
              <wp:posOffset>2930525</wp:posOffset>
            </wp:positionH>
            <wp:positionV relativeFrom="paragraph">
              <wp:posOffset>-986790</wp:posOffset>
            </wp:positionV>
            <wp:extent cx="1018819" cy="767080"/>
            <wp:effectExtent l="0" t="0" r="0" b="0"/>
            <wp:wrapNone/>
            <wp:docPr id="2098511086" name="Imagen 4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511086" name="Imagen 4" descr="Logotipo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19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1CD" w:rsidRPr="00CB7ACF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 xml:space="preserve">Iberdrola recebe </w:t>
      </w:r>
      <w:r w:rsidR="00287E3A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>a</w:t>
      </w:r>
      <w:r w:rsidR="009331CD" w:rsidRPr="00CB7ACF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>s últim</w:t>
      </w:r>
      <w:r w:rsidR="00287E3A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>a</w:t>
      </w:r>
      <w:r w:rsidR="009331CD" w:rsidRPr="00CB7ACF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 xml:space="preserve">s </w:t>
      </w:r>
      <w:proofErr w:type="spellStart"/>
      <w:r w:rsidR="009331CD" w:rsidRPr="00CB7ACF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>mono</w:t>
      </w:r>
      <w:r w:rsidR="00287E3A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>estacas</w:t>
      </w:r>
      <w:proofErr w:type="spellEnd"/>
      <w:r w:rsidR="00287E3A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 xml:space="preserve"> </w:t>
      </w:r>
      <w:r w:rsidR="009331CD" w:rsidRPr="00CB7ACF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>fabricad</w:t>
      </w:r>
      <w:r w:rsidR="00844821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>a</w:t>
      </w:r>
      <w:r w:rsidR="009331CD" w:rsidRPr="00CB7ACF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 xml:space="preserve">s pela </w:t>
      </w:r>
      <w:proofErr w:type="spellStart"/>
      <w:r w:rsidR="009331CD" w:rsidRPr="00CB7ACF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>Navantia-Windar</w:t>
      </w:r>
      <w:proofErr w:type="spellEnd"/>
      <w:r w:rsidR="009331CD" w:rsidRPr="00CB7ACF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 xml:space="preserve"> para</w:t>
      </w:r>
      <w:r w:rsidR="00287E3A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 xml:space="preserve"> </w:t>
      </w:r>
      <w:r w:rsidR="009331CD" w:rsidRPr="00CB7ACF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 xml:space="preserve">seu parque eólico </w:t>
      </w:r>
      <w:r w:rsidR="00BE4171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>offshore</w:t>
      </w:r>
      <w:r w:rsidR="009331CD" w:rsidRPr="00CB7ACF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 xml:space="preserve"> </w:t>
      </w:r>
      <w:proofErr w:type="spellStart"/>
      <w:r w:rsidR="009331CD" w:rsidRPr="00CB7ACF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>Windanker</w:t>
      </w:r>
      <w:proofErr w:type="spellEnd"/>
      <w:r w:rsidR="009331CD" w:rsidRPr="00CB7ACF">
        <w:rPr>
          <w:rFonts w:ascii="IberPangea Text" w:eastAsia="Times New Roman" w:hAnsi="IberPangea Text" w:cs="IberPangea Text"/>
          <w:b/>
          <w:bCs/>
          <w:color w:val="00A343"/>
          <w:sz w:val="40"/>
          <w:szCs w:val="40"/>
          <w:lang w:val="pt-BR" w:eastAsia="es-ES"/>
        </w:rPr>
        <w:t xml:space="preserve"> </w:t>
      </w:r>
    </w:p>
    <w:p w14:paraId="2997CEFF" w14:textId="7371CD01" w:rsidR="007549B1" w:rsidRPr="00CB7ACF" w:rsidRDefault="00287E3A" w:rsidP="004C0D43">
      <w:pPr>
        <w:pStyle w:val="Prrafodelista"/>
        <w:numPr>
          <w:ilvl w:val="0"/>
          <w:numId w:val="3"/>
        </w:numPr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>Este é</w:t>
      </w:r>
      <w:r w:rsidR="0076677E"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o segundo contrato de </w:t>
      </w:r>
      <w:proofErr w:type="spellStart"/>
      <w:r w:rsidR="0076677E"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>mono</w:t>
      </w:r>
      <w:r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>estacas</w:t>
      </w:r>
      <w:proofErr w:type="spellEnd"/>
      <w:r w:rsidR="00992C9D"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, após o East Anglia THREE, </w:t>
      </w:r>
      <w:r w:rsidR="0076677E"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entre as empresas, que </w:t>
      </w:r>
      <w:r w:rsidR="00E15CA8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>consolidam</w:t>
      </w:r>
      <w:r w:rsidR="0076677E"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uma colaboração estratégica que ultrapassa </w:t>
      </w:r>
      <w:r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>o valor de</w:t>
      </w:r>
      <w:r w:rsidR="0076677E"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1</w:t>
      </w:r>
      <w:r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b</w:t>
      </w:r>
      <w:r w:rsidR="0076677E"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>ilh</w:t>
      </w:r>
      <w:r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>ão</w:t>
      </w:r>
      <w:r w:rsidR="0076677E"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r w:rsidR="005936EA"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euros em </w:t>
      </w:r>
      <w:r w:rsidR="0076677E"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>encomendas</w:t>
      </w:r>
      <w:r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16B621D" w14:textId="401C5795" w:rsidR="007549B1" w:rsidRPr="00CB7ACF" w:rsidRDefault="007549B1" w:rsidP="007549B1">
      <w:pPr>
        <w:pStyle w:val="Prrafodelista"/>
        <w:ind w:left="240"/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16F41F3E" w14:textId="581FC2A3" w:rsidR="00FA3A56" w:rsidRPr="00CB7ACF" w:rsidRDefault="0076677E" w:rsidP="004C0D43">
      <w:pPr>
        <w:pStyle w:val="Prrafodelista"/>
        <w:numPr>
          <w:ilvl w:val="0"/>
          <w:numId w:val="3"/>
        </w:numPr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As peças foram </w:t>
      </w:r>
      <w:r w:rsidR="00E15CA8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>feitas</w:t>
      </w:r>
      <w:r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nas novas instalações </w:t>
      </w:r>
      <w:r w:rsidR="00E15CA8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>dos</w:t>
      </w:r>
      <w:r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fabricantes no estaleiro da </w:t>
      </w:r>
      <w:proofErr w:type="spellStart"/>
      <w:r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>Navantia</w:t>
      </w:r>
      <w:proofErr w:type="spellEnd"/>
      <w:r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>Seanergies</w:t>
      </w:r>
      <w:proofErr w:type="spellEnd"/>
      <w:r w:rsidR="00E15CA8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B7ACF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>em Fene (A Coruña)</w:t>
      </w:r>
      <w:r w:rsidR="00E15CA8">
        <w:rPr>
          <w:rFonts w:ascii="IberPangea Text" w:eastAsia="Arial Unicode MS" w:hAnsi="IberPangea Text" w:cs="IberPangea Text"/>
          <w:i/>
          <w:iCs/>
          <w:color w:val="3D3D3D"/>
          <w:bdr w:val="nil"/>
          <w:shd w:val="clear" w:color="auto" w:fill="FFFFFF"/>
          <w:lang w:val="pt-BR" w:eastAsia="es-ES_tradn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C4D8FB1" w14:textId="28DDD12E" w:rsidR="007272F9" w:rsidRPr="00CB7ACF" w:rsidRDefault="00140DAF" w:rsidP="00835072">
      <w:pPr>
        <w:pStyle w:val="DBodytext"/>
        <w:jc w:val="both"/>
        <w:rPr>
          <w:rFonts w:ascii="IberPangea Text" w:hAnsi="IberPangea Text" w:cs="IberPangea Text"/>
          <w:szCs w:val="20"/>
          <w:lang w:val="pt-BR"/>
        </w:rPr>
      </w:pPr>
      <w:r w:rsidRPr="007C65A3">
        <w:rPr>
          <w:rFonts w:ascii="IberPangea Text" w:hAnsi="IberPangea Text" w:cs="IberPangea Text"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A1D71E" wp14:editId="08C65A57">
                <wp:simplePos x="0" y="0"/>
                <wp:positionH relativeFrom="column">
                  <wp:posOffset>-9899</wp:posOffset>
                </wp:positionH>
                <wp:positionV relativeFrom="paragraph">
                  <wp:posOffset>77545</wp:posOffset>
                </wp:positionV>
                <wp:extent cx="5405718" cy="0"/>
                <wp:effectExtent l="0" t="0" r="508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571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A34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3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a343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" from="-.8pt,6.1pt" to="424.85pt,6.1pt" w14:anchorId="7A93D234">
                <v:stroke joinstyle="miter"/>
              </v:line>
            </w:pict>
          </mc:Fallback>
        </mc:AlternateContent>
      </w:r>
      <w:bookmarkEnd w:id="0"/>
    </w:p>
    <w:p w14:paraId="683A16A5" w14:textId="6D342543" w:rsidR="009331CD" w:rsidRPr="00CB7ACF" w:rsidRDefault="009331CD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</w:pP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A Iberdrola recebeu 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a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s últim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a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s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mono</w:t>
      </w:r>
      <w:r w:rsidR="00287E3A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estacas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para seu parque eólico </w:t>
      </w:r>
      <w:r w:rsidR="00E15CA8" w:rsidRPr="00E15CA8">
        <w:rPr>
          <w:rFonts w:ascii="IberPangea Text" w:hAnsi="IberPangea Text" w:cs="IberPangea Text"/>
          <w:i/>
          <w:iCs/>
          <w:color w:val="3D3D3D"/>
          <w:szCs w:val="20"/>
          <w:shd w:val="clear" w:color="auto" w:fill="FFFFFF"/>
          <w:lang w:val="pt-BR"/>
        </w:rPr>
        <w:t>offshore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Windanker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, 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localizado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no mar Báltico. </w:t>
      </w:r>
      <w:r w:rsidR="005C090C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Após 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as unidades</w:t>
      </w:r>
      <w:r w:rsidR="005C090C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construíd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a</w:t>
      </w:r>
      <w:r w:rsidR="005C090C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s para 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o </w:t>
      </w:r>
      <w:r w:rsidR="005C090C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East Anglia THREE,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as peças, fabricadas pela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Navantia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Seanergies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e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Windar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Renovables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, representam o segundo contrato de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mono</w:t>
      </w:r>
      <w:r w:rsidR="00287E3A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estacas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da aliança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Navantia</w:t>
      </w:r>
      <w:r w:rsidR="00237EDC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-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Windar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para a Iberdrola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. As empresas já realizaram entregues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anteriormente no Reino Unido, Alemanha, França e Estados Unidos, </w:t>
      </w:r>
      <w:r w:rsidR="00517EA8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fruto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de uma colaboração estratégica que ultrapassa o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valor de 1 b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ilh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ão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de euros em encomendas durante os últimos dez anos, o que demonstra a confiança da 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companhia energética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nas empresas espanholas. </w:t>
      </w:r>
    </w:p>
    <w:p w14:paraId="3FBF54A1" w14:textId="610B0686" w:rsidR="00E15CA8" w:rsidRPr="00CB7ACF" w:rsidRDefault="009331CD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</w:pP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A produção foi realizada na fábrica de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mono</w:t>
      </w:r>
      <w:r w:rsidR="00287E3A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estacas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que ambas as empresas operam em conjunto no estaleiro da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Navantia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proofErr w:type="spellStart"/>
      <w:r w:rsidR="0036136F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Seanergies</w:t>
      </w:r>
      <w:proofErr w:type="spellEnd"/>
      <w:r w:rsidR="0036136F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em Fene (A Coruña). Cada uma das peças mede até 84 metros de comprimento, 10 metros de diâmetro e pesa até 2.100 toneladas</w:t>
      </w:r>
      <w:r w:rsidR="00992C9D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, e 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resultou n</w:t>
      </w:r>
      <w:r w:rsidR="00992C9D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a criação de 300 postos de trabalho. </w:t>
      </w:r>
    </w:p>
    <w:p w14:paraId="739D08E7" w14:textId="086E909A" w:rsidR="00E15CA8" w:rsidRPr="00CB7ACF" w:rsidRDefault="0076677E" w:rsidP="0076677E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</w:pP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O pedido faz parte do acordo-quadro que as empresas celebraram no verão de 2021 para a fabricação e fornecimento de fundações do tipo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mono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estacas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XXL. A aliança reforçou o papel 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de liderança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da Iberdrola na indústria local e proporcionou estabilidade e 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previsibilidade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ao consórcio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Navantia-Windar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para 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a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constru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ção de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uma fábrica des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s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e tipo de peças, as mais procuradas no setor das fundações marítimas fixas, nos terrenos do estaleiro da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Navantia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proofErr w:type="spellStart"/>
      <w:r w:rsidR="0036136F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Seanergies</w:t>
      </w:r>
      <w:proofErr w:type="spellEnd"/>
      <w:r w:rsidR="0036136F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em Fene.</w:t>
      </w:r>
    </w:p>
    <w:p w14:paraId="4D2FBDDE" w14:textId="0DA80E2A" w:rsidR="00E15CA8" w:rsidRPr="00CB7ACF" w:rsidRDefault="0076677E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</w:pP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As 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obras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na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fábrica 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envolveram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um investimento de 36 milhões de euros para a adaptação de um 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galpão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que permite curvar chapas de grande espessura e até 12 metros de diâmetro, novas cabines de pintura e áreas de armazenamento para produtos acabados, </w:t>
      </w:r>
      <w:r w:rsidR="00E15CA8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além da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incorporação de equipamentos de última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geração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necessários para a fabricação. </w:t>
      </w:r>
    </w:p>
    <w:p w14:paraId="732E44BB" w14:textId="1825A799" w:rsidR="00237EDC" w:rsidRDefault="009331CD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</w:pP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O parque eólico </w:t>
      </w:r>
      <w:r w:rsidR="00BE4171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offshore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Windanker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está localizado em águas alemãs e faz parte do Hub que a Iberdrola está construindo no Mar Báltico, que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terá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mais de 1.100 MW de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capacidade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instalada </w:t>
      </w:r>
      <w:r w:rsidR="0076677E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e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que receberá u</w:t>
      </w:r>
      <w:r w:rsidR="0076677E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m investimento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total</w:t>
      </w:r>
      <w:r w:rsidR="0076677E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de 3,5 bilhões de euros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. </w:t>
      </w:r>
      <w:r w:rsidR="0076677E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Também fazem parte deste hub os parques </w:t>
      </w:r>
      <w:proofErr w:type="spellStart"/>
      <w:r w:rsidR="0076677E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Wikinger</w:t>
      </w:r>
      <w:proofErr w:type="spellEnd"/>
      <w:r w:rsidR="0076677E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(350 MW), já em operação, e </w:t>
      </w:r>
      <w:proofErr w:type="spellStart"/>
      <w:r w:rsidR="0076677E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Baltic</w:t>
      </w:r>
      <w:proofErr w:type="spellEnd"/>
      <w:r w:rsidR="0076677E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Eagle (476 MW), que </w:t>
      </w:r>
      <w:r w:rsidR="001900E9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foi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inaugurado recentemente</w:t>
      </w:r>
      <w:r w:rsidR="001900E9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.</w:t>
      </w:r>
    </w:p>
    <w:p w14:paraId="5A5DAE64" w14:textId="11CFFD1F" w:rsidR="003D5189" w:rsidRPr="00CB7ACF" w:rsidRDefault="009331CD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</w:pP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lastRenderedPageBreak/>
        <w:t>Quand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o o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Windanker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entrar em operação, em 2026,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contará com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uma capacidade de 315 MW. Graças à aposta pioneira da Iberdrola na energia eólica </w:t>
      </w:r>
      <w:r w:rsidR="003D5189" w:rsidRPr="003D5189">
        <w:rPr>
          <w:rFonts w:ascii="IberPangea Text" w:hAnsi="IberPangea Text" w:cs="IberPangea Text"/>
          <w:i/>
          <w:iCs/>
          <w:color w:val="3D3D3D"/>
          <w:szCs w:val="20"/>
          <w:shd w:val="clear" w:color="auto" w:fill="FFFFFF"/>
          <w:lang w:val="pt-BR"/>
        </w:rPr>
        <w:t>offshore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e à sua experiência no Mar Báltico, a eficiência de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Windanker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foi maximizada</w:t>
      </w:r>
      <w:r w:rsidR="0076677E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,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fazendo com que o projeto fosse</w:t>
      </w:r>
      <w:r w:rsidR="0076677E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viável</w:t>
      </w:r>
      <w:r w:rsidR="0076677E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. O parque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terá</w:t>
      </w:r>
      <w:r w:rsidR="0076677E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turbinas de nova geração com uma potência unitária de aproximadamente 15 MW. </w:t>
      </w:r>
    </w:p>
    <w:p w14:paraId="5D48FAEA" w14:textId="64D37337" w:rsidR="003D5189" w:rsidRPr="00CB7ACF" w:rsidRDefault="00817286" w:rsidP="00715F9F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</w:pP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“D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esde a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Navantia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, queremos expressar nosso agradecimento à Iberdrola pela confiança depositada mais uma vez na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Navantia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Seanergies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e em nosso parceiro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Windar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. Em dezembro, a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Navantia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comemorou uma década de energia eólica </w:t>
      </w:r>
      <w:r w:rsidR="003D5189" w:rsidRPr="003D5189">
        <w:rPr>
          <w:rFonts w:ascii="IberPangea Text" w:hAnsi="IberPangea Text" w:cs="IberPangea Text"/>
          <w:i/>
          <w:iCs/>
          <w:color w:val="3D3D3D"/>
          <w:szCs w:val="20"/>
          <w:shd w:val="clear" w:color="auto" w:fill="FFFFFF"/>
          <w:lang w:val="pt-BR"/>
        </w:rPr>
        <w:t>offshore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,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desde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o primeiro contrato com a Iberdrola. Desde então, fornecemos à Iberdrola fundações e subestações </w:t>
      </w:r>
      <w:r w:rsidRPr="003D5189">
        <w:rPr>
          <w:rFonts w:ascii="IberPangea Text" w:hAnsi="IberPangea Text" w:cs="IberPangea Text"/>
          <w:i/>
          <w:iCs/>
          <w:color w:val="3D3D3D"/>
          <w:szCs w:val="20"/>
          <w:shd w:val="clear" w:color="auto" w:fill="FFFFFF"/>
          <w:lang w:val="pt-BR"/>
        </w:rPr>
        <w:t>offshore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para seus parques eólicos, o que contribuiu para reforçar o desenvolvimento da cadeia de fornecimento nacional”,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afirmou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Ricardo Domínguez, presidente da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Navantia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.</w:t>
      </w:r>
    </w:p>
    <w:p w14:paraId="3935A7E9" w14:textId="77777777" w:rsidR="00237EDC" w:rsidRDefault="000D69E8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</w:pP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Para o </w:t>
      </w:r>
      <w:r w:rsidR="00817286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presidente executivo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da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Windar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Renovables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, Orlando Alonso, “a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Windar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Renovables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valoriza este pedido da Iberdrola como uma prova do alto nível de qualidade dos nossos produtos e da fiabilidade dos nossos processos e da nossa colaboração com a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Navantia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Seanergies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há mais de nove anos. Nesse sentido, trabalhamos diariamente para posicionar esta aliança estratégica empresarial e nossa empresa na vanguarda dos novos desenvolvimentos em energias renováveis no mercado europeu e internacional”. </w:t>
      </w:r>
    </w:p>
    <w:p w14:paraId="6915C577" w14:textId="4F779255" w:rsidR="003D5189" w:rsidRPr="00CB7ACF" w:rsidRDefault="00715F9F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</w:pP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“Es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s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a entrega é mais uma prova da vocação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de liderança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da Iberdrola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com o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tecido industrial espanhol. Há mais de 10 anos que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promovemos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a geração eólica </w:t>
      </w:r>
      <w:r w:rsidR="003D5189" w:rsidRPr="003D5189">
        <w:rPr>
          <w:rFonts w:ascii="IberPangea Text" w:hAnsi="IberPangea Text" w:cs="IberPangea Text"/>
          <w:i/>
          <w:iCs/>
          <w:color w:val="3D3D3D"/>
          <w:szCs w:val="20"/>
          <w:shd w:val="clear" w:color="auto" w:fill="FFFFFF"/>
          <w:lang w:val="pt-BR"/>
        </w:rPr>
        <w:t>offshore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em todo o mundo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,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e procuramos sempre desenvolver todos os nossos projetos, além de com a indústria local, com empresas espanholas e com acordos de longo prazo, o que proporciona estabilidade, visibilidade internacional e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previsibilidade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aos nossos fornecedores, gerando atividade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s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e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empregos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de forma sustentada”,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disse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Álvaro Martínez, diretor de eólica </w:t>
      </w:r>
      <w:r w:rsidR="003D5189" w:rsidRPr="003D5189">
        <w:rPr>
          <w:rFonts w:ascii="IberPangea Text" w:hAnsi="IberPangea Text" w:cs="IberPangea Text"/>
          <w:i/>
          <w:iCs/>
          <w:color w:val="3D3D3D"/>
          <w:szCs w:val="20"/>
          <w:shd w:val="clear" w:color="auto" w:fill="FFFFFF"/>
          <w:lang w:val="pt-BR"/>
        </w:rPr>
        <w:t>offshore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da Iberdrola. </w:t>
      </w:r>
    </w:p>
    <w:p w14:paraId="1C0C0FB2" w14:textId="6AAF3596" w:rsidR="0076677E" w:rsidRPr="00CB7ACF" w:rsidRDefault="00FF2A7F" w:rsidP="009331CD">
      <w:pPr>
        <w:pStyle w:val="DBodytext"/>
        <w:jc w:val="both"/>
        <w:rPr>
          <w:rFonts w:ascii="IberPangea Text" w:hAnsi="IberPangea Text" w:cs="IberPangea Text"/>
          <w:b/>
          <w:bCs/>
          <w:color w:val="00A343"/>
          <w:sz w:val="24"/>
          <w:szCs w:val="24"/>
          <w:lang w:val="pt-BR"/>
        </w:rPr>
      </w:pPr>
      <w:r w:rsidRPr="00CB7ACF">
        <w:rPr>
          <w:rFonts w:ascii="IberPangea Text" w:hAnsi="IberPangea Text" w:cs="IberPangea Text"/>
          <w:b/>
          <w:bCs/>
          <w:color w:val="00A343"/>
          <w:sz w:val="24"/>
          <w:szCs w:val="24"/>
          <w:lang w:val="pt-BR"/>
        </w:rPr>
        <w:t>Trabalhos para East Anglia THREE</w:t>
      </w:r>
    </w:p>
    <w:p w14:paraId="0891C5EA" w14:textId="2BEC6F54" w:rsidR="003D5189" w:rsidRPr="00CB7ACF" w:rsidRDefault="009331CD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</w:pP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Paralelamente à conclusão do projeto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Windanker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, a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Navantia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proofErr w:type="spellStart"/>
      <w:r w:rsidR="0036136F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Seanergies</w:t>
      </w:r>
      <w:proofErr w:type="spellEnd"/>
      <w:r w:rsidR="0036136F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e a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Windar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proofErr w:type="spellStart"/>
      <w:r w:rsidR="000D69E8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Renovables</w:t>
      </w:r>
      <w:proofErr w:type="spellEnd"/>
      <w:r w:rsidR="000D69E8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também estão trabalhando atualmente para a Iberdrola na fabricação de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mono</w:t>
      </w:r>
      <w:r w:rsidR="00287E3A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estacas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para o parque eólico </w:t>
      </w:r>
      <w:r w:rsidR="003D5189" w:rsidRPr="003D5189">
        <w:rPr>
          <w:rFonts w:ascii="IberPangea Text" w:hAnsi="IberPangea Text" w:cs="IberPangea Text"/>
          <w:i/>
          <w:iCs/>
          <w:color w:val="3D3D3D"/>
          <w:szCs w:val="20"/>
          <w:shd w:val="clear" w:color="auto" w:fill="FFFFFF"/>
          <w:lang w:val="pt-BR"/>
        </w:rPr>
        <w:t>offshore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East Anglia THREE (EA3), localizado em águas do Reino Unido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e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que fará parte do complexo East Anglia Hub,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com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2.900 MW de capacidade instalada.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Dentro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deste projeto, a aliança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Navantia</w:t>
      </w:r>
      <w:r w:rsidR="00237EDC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-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Windar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está construindo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45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mono</w:t>
      </w:r>
      <w:r w:rsidR="00287E3A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estaca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s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em Fene, enquanto a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Windar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proofErr w:type="spellStart"/>
      <w:r w:rsidR="000D69E8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Renovables</w:t>
      </w:r>
      <w:proofErr w:type="spellEnd"/>
      <w:r w:rsidR="000D69E8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fabrica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as 95 peças de transição </w:t>
      </w:r>
      <w:r w:rsidR="003D5189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em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sua fábrica de </w:t>
      </w:r>
      <w:proofErr w:type="spellStart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Avilés</w:t>
      </w:r>
      <w:proofErr w:type="spellEnd"/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(Astúrias).</w:t>
      </w:r>
    </w:p>
    <w:p w14:paraId="347FFCA4" w14:textId="27A95898" w:rsidR="003539C9" w:rsidRPr="00CB7ACF" w:rsidRDefault="003539C9" w:rsidP="003539C9">
      <w:pPr>
        <w:pStyle w:val="DBodytext"/>
        <w:jc w:val="both"/>
        <w:rPr>
          <w:rFonts w:ascii="IberPangea Text" w:hAnsi="IberPangea Text" w:cs="IberPangea Text"/>
          <w:b/>
          <w:bCs/>
          <w:color w:val="00A343"/>
          <w:sz w:val="24"/>
          <w:szCs w:val="24"/>
          <w:lang w:val="pt-BR"/>
        </w:rPr>
      </w:pPr>
      <w:r w:rsidRPr="00CB7ACF">
        <w:rPr>
          <w:rFonts w:ascii="IberPangea Text" w:hAnsi="IberPangea Text" w:cs="IberPangea Text"/>
          <w:b/>
          <w:bCs/>
          <w:color w:val="00A343"/>
          <w:sz w:val="24"/>
          <w:szCs w:val="24"/>
          <w:lang w:val="pt-BR"/>
        </w:rPr>
        <w:t xml:space="preserve">Iberdrola, líder em energia eólica </w:t>
      </w:r>
      <w:r w:rsidR="003D5189" w:rsidRPr="003D5189">
        <w:rPr>
          <w:rFonts w:ascii="IberPangea Text" w:hAnsi="IberPangea Text" w:cs="IberPangea Text"/>
          <w:b/>
          <w:bCs/>
          <w:i/>
          <w:iCs/>
          <w:color w:val="00A343"/>
          <w:sz w:val="24"/>
          <w:szCs w:val="24"/>
          <w:lang w:val="pt-BR"/>
        </w:rPr>
        <w:t>offshore</w:t>
      </w:r>
    </w:p>
    <w:p w14:paraId="2E0F32A9" w14:textId="5171F65E" w:rsidR="00237EDC" w:rsidRDefault="003539C9" w:rsidP="003539C9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</w:pP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A Iberdrola foi pioneira na energia eólica </w:t>
      </w:r>
      <w:r w:rsidR="00237EDC" w:rsidRPr="00237EDC">
        <w:rPr>
          <w:rFonts w:ascii="IberPangea Text" w:hAnsi="IberPangea Text" w:cs="IberPangea Text"/>
          <w:i/>
          <w:iCs/>
          <w:color w:val="3D3D3D"/>
          <w:szCs w:val="20"/>
          <w:shd w:val="clear" w:color="auto" w:fill="FFFFFF"/>
          <w:lang w:val="pt-BR"/>
        </w:rPr>
        <w:t>offshore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, </w:t>
      </w:r>
      <w:r w:rsidR="00237EDC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iniciando as operações de </w:t>
      </w:r>
      <w:r w:rsidR="00CC282A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seu primeiro parque </w:t>
      </w:r>
      <w:r w:rsidR="00237EDC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eólico em alto-mar</w:t>
      </w:r>
      <w:r w:rsidR="00CC282A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, </w:t>
      </w:r>
      <w:r w:rsidR="00237EDC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o </w:t>
      </w:r>
      <w:r w:rsidR="00CC282A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West </w:t>
      </w:r>
      <w:proofErr w:type="spellStart"/>
      <w:r w:rsidR="00CC282A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of</w:t>
      </w:r>
      <w:proofErr w:type="spellEnd"/>
      <w:r w:rsidR="00CC282A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proofErr w:type="spellStart"/>
      <w:r w:rsidR="00CC282A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Duddon</w:t>
      </w:r>
      <w:proofErr w:type="spellEnd"/>
      <w:r w:rsidR="00CC282A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Sands, em 2014, na Inglaterra. Hoje, esta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tecnologia é um d</w:t>
      </w:r>
      <w:r w:rsidR="00237EDC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seus maiores vetores de crescimento. A empresa </w:t>
      </w:r>
      <w:r w:rsidR="00237EDC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promove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a energia eólica </w:t>
      </w:r>
      <w:r w:rsidR="00237EDC" w:rsidRPr="00237EDC">
        <w:rPr>
          <w:rFonts w:ascii="IberPangea Text" w:hAnsi="IberPangea Text" w:cs="IberPangea Text"/>
          <w:i/>
          <w:iCs/>
          <w:color w:val="3D3D3D"/>
          <w:szCs w:val="20"/>
          <w:shd w:val="clear" w:color="auto" w:fill="FFFFFF"/>
          <w:lang w:val="pt-BR"/>
        </w:rPr>
        <w:t>offshore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em todo o mundo </w:t>
      </w:r>
      <w:r w:rsidR="00CC282A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e conta com um sólid</w:t>
      </w:r>
      <w:r w:rsidR="00237EDC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o</w:t>
      </w:r>
      <w:r w:rsidR="00CC282A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r w:rsidR="00237EDC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portfólio</w:t>
      </w:r>
      <w:r w:rsidR="00CC282A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de projetos nos Estados Unidos, Reino Unido, França e Alemanha, além d</w:t>
      </w:r>
      <w:r w:rsidR="00237EDC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e na</w:t>
      </w:r>
      <w:r w:rsidR="00CC282A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Austrália e Japão. </w:t>
      </w:r>
    </w:p>
    <w:p w14:paraId="144D14CE" w14:textId="63156B5C" w:rsidR="003539C9" w:rsidRPr="00237EDC" w:rsidRDefault="00CC282A" w:rsidP="009331CD">
      <w:pPr>
        <w:pStyle w:val="DBodytext"/>
        <w:jc w:val="both"/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</w:pP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No final do primeiro </w:t>
      </w:r>
      <w:r w:rsidR="00517EA8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semestre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de 2025, </w:t>
      </w:r>
      <w:r w:rsidR="00237EDC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a Iberdrola </w:t>
      </w:r>
      <w:r w:rsidR="00517EA8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conta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com </w:t>
      </w:r>
      <w:r w:rsidR="00517EA8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mais de 2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.</w:t>
      </w:r>
      <w:r w:rsidR="00517EA8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470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MW </w:t>
      </w:r>
      <w:r w:rsidR="00517EA8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de capacidade instalada em energia eólica </w:t>
      </w:r>
      <w:r w:rsidR="00237EDC" w:rsidRPr="00237EDC">
        <w:rPr>
          <w:rFonts w:ascii="IberPangea Text" w:hAnsi="IberPangea Text" w:cs="IberPangea Text"/>
          <w:i/>
          <w:iCs/>
          <w:color w:val="3D3D3D"/>
          <w:szCs w:val="20"/>
          <w:shd w:val="clear" w:color="auto" w:fill="FFFFFF"/>
          <w:lang w:val="pt-BR"/>
        </w:rPr>
        <w:t>offshore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, com previsão de </w:t>
      </w:r>
      <w:r w:rsidR="00517EA8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aument</w:t>
      </w:r>
      <w:r w:rsidR="00237EDC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ar esse número</w:t>
      </w:r>
      <w:r w:rsidR="00517EA8"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 xml:space="preserve"> </w:t>
      </w:r>
      <w:r w:rsidRPr="00CB7ACF">
        <w:rPr>
          <w:rFonts w:ascii="IberPangea Text" w:hAnsi="IberPangea Text" w:cs="IberPangea Text"/>
          <w:color w:val="3D3D3D"/>
          <w:szCs w:val="20"/>
          <w:shd w:val="clear" w:color="auto" w:fill="FFFFFF"/>
          <w:lang w:val="pt-BR"/>
        </w:rPr>
        <w:t>para 6.500 MW em 2030, graças a importantes investimentos em todo o mundo.</w:t>
      </w:r>
    </w:p>
    <w:sectPr w:rsidR="003539C9" w:rsidRPr="00237EDC" w:rsidSect="00A678F5">
      <w:headerReference w:type="default" r:id="rId10"/>
      <w:footerReference w:type="default" r:id="rId11"/>
      <w:headerReference w:type="first" r:id="rId12"/>
      <w:pgSz w:w="11906" w:h="16838" w:code="9"/>
      <w:pgMar w:top="1814" w:right="1418" w:bottom="1814" w:left="1985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96340" w14:textId="77777777" w:rsidR="009B0D90" w:rsidRDefault="009B0D90">
      <w:pPr>
        <w:spacing w:after="0" w:line="240" w:lineRule="auto"/>
      </w:pPr>
      <w:r>
        <w:separator/>
      </w:r>
    </w:p>
  </w:endnote>
  <w:endnote w:type="continuationSeparator" w:id="0">
    <w:p w14:paraId="7A3DBC6F" w14:textId="77777777" w:rsidR="009B0D90" w:rsidRDefault="009B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erPangea Text Light">
    <w:altName w:val="Cambria Math"/>
    <w:panose1 w:val="020B0604020202020204"/>
    <w:charset w:val="00"/>
    <w:family w:val="swiss"/>
    <w:notTrueType/>
    <w:pitch w:val="variable"/>
    <w:sig w:usb0="A10002FF" w:usb1="5201E0FB" w:usb2="00000008" w:usb3="00000000" w:csb0="0000019F" w:csb1="00000000"/>
  </w:font>
  <w:font w:name="Times New Roman (Cuerpo en alf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berPangea Text">
    <w:altName w:val="Cambria Math"/>
    <w:panose1 w:val="020B0604020202020204"/>
    <w:charset w:val="00"/>
    <w:family w:val="swiss"/>
    <w:notTrueType/>
    <w:pitch w:val="variable"/>
    <w:sig w:usb0="A10002FF" w:usb1="5201E0FB" w:usb2="0000000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F18D" w14:textId="18A904F6" w:rsidR="004C016A" w:rsidRPr="00670B57" w:rsidRDefault="004C016A" w:rsidP="005D0F2D">
    <w:pPr>
      <w:pStyle w:val="MFootnote"/>
      <w:ind w:right="-569"/>
      <w:rPr>
        <w:rFonts w:ascii="IberPangea Text" w:hAnsi="IberPangea Text" w:cs="IberPangea Text"/>
        <w:noProof/>
        <w:color w:val="3A373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C23D6" w14:textId="77777777" w:rsidR="009B0D90" w:rsidRDefault="009B0D90">
      <w:pPr>
        <w:spacing w:after="0" w:line="240" w:lineRule="auto"/>
      </w:pPr>
      <w:r>
        <w:separator/>
      </w:r>
    </w:p>
  </w:footnote>
  <w:footnote w:type="continuationSeparator" w:id="0">
    <w:p w14:paraId="160CDE79" w14:textId="77777777" w:rsidR="009B0D90" w:rsidRDefault="009B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772D" w14:textId="2A7DDD18" w:rsidR="004C016A" w:rsidRDefault="008B2EDA" w:rsidP="008B2EDA">
    <w:pPr>
      <w:pStyle w:val="Encabezado"/>
      <w:tabs>
        <w:tab w:val="clear" w:pos="4252"/>
        <w:tab w:val="clear" w:pos="8504"/>
        <w:tab w:val="left" w:pos="4870"/>
      </w:tabs>
      <w:jc w:val="both"/>
    </w:pPr>
    <w:r>
      <w:rPr>
        <w:rFonts w:ascii="IberPangea Text" w:hAnsi="IberPangea Text" w:cs="IberPangea Text"/>
        <w:b/>
        <w:bCs/>
        <w:noProof/>
        <w:color w:val="00A343"/>
        <w:sz w:val="40"/>
        <w:szCs w:val="40"/>
      </w:rPr>
      <w:drawing>
        <wp:anchor distT="0" distB="0" distL="114300" distR="114300" simplePos="0" relativeHeight="251664896" behindDoc="1" locked="0" layoutInCell="1" allowOverlap="1" wp14:anchorId="3B208938" wp14:editId="573EC7B4">
          <wp:simplePos x="0" y="0"/>
          <wp:positionH relativeFrom="column">
            <wp:posOffset>2810510</wp:posOffset>
          </wp:positionH>
          <wp:positionV relativeFrom="paragraph">
            <wp:posOffset>-476250</wp:posOffset>
          </wp:positionV>
          <wp:extent cx="1018819" cy="767080"/>
          <wp:effectExtent l="0" t="0" r="0" b="0"/>
          <wp:wrapNone/>
          <wp:docPr id="1311296770" name="Imagen 4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511086" name="Imagen 4" descr="Logotip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19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0563">
      <w:rPr>
        <w:rFonts w:cs="IberPangea Text"/>
        <w:noProof/>
      </w:rPr>
      <w:drawing>
        <wp:anchor distT="0" distB="0" distL="114300" distR="114300" simplePos="0" relativeHeight="251662848" behindDoc="1" locked="0" layoutInCell="1" allowOverlap="1" wp14:anchorId="2F1C28A0" wp14:editId="0EBDAA2D">
          <wp:simplePos x="0" y="0"/>
          <wp:positionH relativeFrom="column">
            <wp:posOffset>1308100</wp:posOffset>
          </wp:positionH>
          <wp:positionV relativeFrom="paragraph">
            <wp:posOffset>-393700</wp:posOffset>
          </wp:positionV>
          <wp:extent cx="1708150" cy="960755"/>
          <wp:effectExtent l="0" t="0" r="6350" b="0"/>
          <wp:wrapNone/>
          <wp:docPr id="195138436" name="Imagen 3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989997" name="Imagen 3" descr="Logotipo, nombre de la empresa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0DAF">
      <w:rPr>
        <w:noProof/>
      </w:rPr>
      <w:drawing>
        <wp:anchor distT="0" distB="0" distL="114300" distR="114300" simplePos="0" relativeHeight="251657728" behindDoc="0" locked="0" layoutInCell="1" allowOverlap="1" wp14:anchorId="0DAD01FC" wp14:editId="653EF98B">
          <wp:simplePos x="0" y="0"/>
          <wp:positionH relativeFrom="column">
            <wp:posOffset>3830955</wp:posOffset>
          </wp:positionH>
          <wp:positionV relativeFrom="paragraph">
            <wp:posOffset>-194945</wp:posOffset>
          </wp:positionV>
          <wp:extent cx="1688465" cy="591185"/>
          <wp:effectExtent l="0" t="0" r="0" b="0"/>
          <wp:wrapThrough wrapText="bothSides">
            <wp:wrapPolygon edited="0">
              <wp:start x="2681" y="2784"/>
              <wp:lineTo x="1219" y="9744"/>
              <wp:lineTo x="1219" y="18097"/>
              <wp:lineTo x="2681" y="18097"/>
              <wp:lineTo x="2681" y="15313"/>
              <wp:lineTo x="20227" y="14617"/>
              <wp:lineTo x="20471" y="6960"/>
              <wp:lineTo x="6580" y="2784"/>
              <wp:lineTo x="2681" y="2784"/>
            </wp:wrapPolygon>
          </wp:wrapThrough>
          <wp:docPr id="352803371" name="Imagen 352803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4DB3" w14:textId="5DE4E417" w:rsidR="004C016A" w:rsidRPr="00CB7ACF" w:rsidRDefault="009A0563" w:rsidP="00E70500">
    <w:pPr>
      <w:pStyle w:val="DBodytext"/>
      <w:rPr>
        <w:rFonts w:cs="IberPangea Text"/>
        <w:sz w:val="24"/>
        <w:szCs w:val="24"/>
        <w:lang w:val="pt-BR"/>
      </w:rPr>
    </w:pPr>
    <w:r>
      <w:rPr>
        <w:rFonts w:cs="IberPangea Text"/>
        <w:noProof/>
      </w:rPr>
      <w:drawing>
        <wp:anchor distT="0" distB="0" distL="114300" distR="114300" simplePos="0" relativeHeight="251660800" behindDoc="1" locked="0" layoutInCell="1" allowOverlap="1" wp14:anchorId="649FDF60" wp14:editId="1B4A098F">
          <wp:simplePos x="0" y="0"/>
          <wp:positionH relativeFrom="column">
            <wp:posOffset>1393825</wp:posOffset>
          </wp:positionH>
          <wp:positionV relativeFrom="paragraph">
            <wp:posOffset>-354330</wp:posOffset>
          </wp:positionV>
          <wp:extent cx="1708150" cy="960755"/>
          <wp:effectExtent l="0" t="0" r="6350" b="0"/>
          <wp:wrapNone/>
          <wp:docPr id="1584989997" name="Imagen 3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989997" name="Imagen 3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0B57">
      <w:rPr>
        <w:rFonts w:cstheme="minorHAnsi"/>
        <w:caps/>
        <w:noProof/>
      </w:rPr>
      <w:drawing>
        <wp:anchor distT="0" distB="0" distL="114300" distR="114300" simplePos="0" relativeHeight="251659776" behindDoc="1" locked="0" layoutInCell="1" allowOverlap="1" wp14:anchorId="1BB8D972" wp14:editId="4498955E">
          <wp:simplePos x="0" y="0"/>
          <wp:positionH relativeFrom="margin">
            <wp:posOffset>3973830</wp:posOffset>
          </wp:positionH>
          <wp:positionV relativeFrom="paragraph">
            <wp:posOffset>-132715</wp:posOffset>
          </wp:positionV>
          <wp:extent cx="1685925" cy="594995"/>
          <wp:effectExtent l="0" t="0" r="0" b="0"/>
          <wp:wrapTight wrapText="bothSides">
            <wp:wrapPolygon edited="0">
              <wp:start x="2685" y="2766"/>
              <wp:lineTo x="1220" y="9682"/>
              <wp:lineTo x="1220" y="17981"/>
              <wp:lineTo x="2685" y="17981"/>
              <wp:lineTo x="2685" y="15215"/>
              <wp:lineTo x="20258" y="14523"/>
              <wp:lineTo x="20502" y="6916"/>
              <wp:lineTo x="6590" y="2766"/>
              <wp:lineTo x="2685" y="2766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ACF" w:rsidRPr="00CB7ACF">
      <w:rPr>
        <w:rFonts w:cs="IberPangea Text"/>
        <w:noProof/>
        <w:lang w:val="pt-BR"/>
      </w:rPr>
      <w:t>Nota</w:t>
    </w:r>
    <w:r w:rsidR="00140DAF" w:rsidRPr="00CB7ACF">
      <w:rPr>
        <w:rFonts w:cs="IberPangea Text"/>
        <w:lang w:val="pt-BR"/>
      </w:rPr>
      <w:t xml:space="preserve"> à imprensa</w:t>
    </w:r>
    <w:r w:rsidR="00140DAF" w:rsidRPr="00CB7ACF">
      <w:rPr>
        <w:rFonts w:cs="IberPangea Text"/>
        <w:lang w:val="pt-BR"/>
      </w:rPr>
      <w:br/>
    </w:r>
    <w:r w:rsidR="000D69E8" w:rsidRPr="00CB7ACF">
      <w:rPr>
        <w:rFonts w:cs="IberPangea Text"/>
        <w:lang w:val="pt-BR"/>
      </w:rPr>
      <w:t xml:space="preserve">6 </w:t>
    </w:r>
    <w:r w:rsidR="005D28B2" w:rsidRPr="00CB7ACF">
      <w:rPr>
        <w:rFonts w:cs="IberPangea Text"/>
        <w:lang w:val="pt-BR"/>
      </w:rPr>
      <w:t xml:space="preserve">de </w:t>
    </w:r>
    <w:r w:rsidR="0076677E" w:rsidRPr="00CB7ACF">
      <w:rPr>
        <w:rFonts w:cs="IberPangea Text"/>
        <w:lang w:val="pt-BR"/>
      </w:rPr>
      <w:t xml:space="preserve">agosto </w:t>
    </w:r>
    <w:r w:rsidR="00140DAF" w:rsidRPr="00CB7ACF">
      <w:rPr>
        <w:rFonts w:cs="IberPangea Text"/>
        <w:lang w:val="pt-BR"/>
      </w:rPr>
      <w:t>de</w:t>
    </w:r>
    <w:r w:rsidR="007549B1" w:rsidRPr="00CB7ACF">
      <w:rPr>
        <w:rFonts w:cs="IberPangea Text"/>
        <w:lang w:val="pt-BR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852AB"/>
    <w:multiLevelType w:val="hybridMultilevel"/>
    <w:tmpl w:val="4C000E1C"/>
    <w:styleLink w:val="Vieta"/>
    <w:lvl w:ilvl="0" w:tplc="AE16FE7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69C14">
      <w:start w:val="1"/>
      <w:numFmt w:val="bullet"/>
      <w:lvlText w:val="•"/>
      <w:lvlJc w:val="left"/>
      <w:pPr>
        <w:ind w:left="4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F05050">
      <w:start w:val="1"/>
      <w:numFmt w:val="bullet"/>
      <w:lvlText w:val="•"/>
      <w:lvlJc w:val="left"/>
      <w:pPr>
        <w:ind w:left="6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28236">
      <w:start w:val="1"/>
      <w:numFmt w:val="bullet"/>
      <w:lvlText w:val="•"/>
      <w:lvlJc w:val="left"/>
      <w:pPr>
        <w:ind w:left="7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FA1BEE">
      <w:start w:val="1"/>
      <w:numFmt w:val="bullet"/>
      <w:lvlText w:val="•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369E74">
      <w:start w:val="1"/>
      <w:numFmt w:val="bullet"/>
      <w:lvlText w:val="•"/>
      <w:lvlJc w:val="left"/>
      <w:pPr>
        <w:ind w:left="11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28DB36">
      <w:start w:val="1"/>
      <w:numFmt w:val="bullet"/>
      <w:lvlText w:val="•"/>
      <w:lvlJc w:val="left"/>
      <w:pPr>
        <w:ind w:left="13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763388">
      <w:start w:val="1"/>
      <w:numFmt w:val="bullet"/>
      <w:lvlText w:val="•"/>
      <w:lvlJc w:val="left"/>
      <w:pPr>
        <w:ind w:left="15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D48C9FC">
      <w:start w:val="1"/>
      <w:numFmt w:val="bullet"/>
      <w:lvlText w:val="•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C533B"/>
    <w:multiLevelType w:val="hybridMultilevel"/>
    <w:tmpl w:val="4C000E1C"/>
    <w:numStyleLink w:val="Vieta"/>
  </w:abstractNum>
  <w:abstractNum w:abstractNumId="3" w15:restartNumberingAfterBreak="0">
    <w:nsid w:val="77B23134"/>
    <w:multiLevelType w:val="hybridMultilevel"/>
    <w:tmpl w:val="3612A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965529">
    <w:abstractNumId w:val="1"/>
  </w:num>
  <w:num w:numId="2" w16cid:durableId="316305650">
    <w:abstractNumId w:val="0"/>
  </w:num>
  <w:num w:numId="3" w16cid:durableId="1079407345">
    <w:abstractNumId w:val="2"/>
  </w:num>
  <w:num w:numId="4" w16cid:durableId="689063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AF"/>
    <w:rsid w:val="00012E2C"/>
    <w:rsid w:val="000220B1"/>
    <w:rsid w:val="0002340E"/>
    <w:rsid w:val="000270E4"/>
    <w:rsid w:val="00033FE5"/>
    <w:rsid w:val="000458A5"/>
    <w:rsid w:val="000466F0"/>
    <w:rsid w:val="000525CA"/>
    <w:rsid w:val="00072B6D"/>
    <w:rsid w:val="00082EC2"/>
    <w:rsid w:val="00083ECA"/>
    <w:rsid w:val="000919B8"/>
    <w:rsid w:val="000A0363"/>
    <w:rsid w:val="000A5722"/>
    <w:rsid w:val="000A669F"/>
    <w:rsid w:val="000B16E6"/>
    <w:rsid w:val="000C1E25"/>
    <w:rsid w:val="000D02B6"/>
    <w:rsid w:val="000D1469"/>
    <w:rsid w:val="000D69E8"/>
    <w:rsid w:val="000E1483"/>
    <w:rsid w:val="000E33B7"/>
    <w:rsid w:val="000E6E4C"/>
    <w:rsid w:val="000F629F"/>
    <w:rsid w:val="00111C1D"/>
    <w:rsid w:val="001120F8"/>
    <w:rsid w:val="001231E6"/>
    <w:rsid w:val="00124D9C"/>
    <w:rsid w:val="001269A1"/>
    <w:rsid w:val="001335DA"/>
    <w:rsid w:val="0013433D"/>
    <w:rsid w:val="00136041"/>
    <w:rsid w:val="00140629"/>
    <w:rsid w:val="00140DAF"/>
    <w:rsid w:val="0015349E"/>
    <w:rsid w:val="0015721B"/>
    <w:rsid w:val="0016523D"/>
    <w:rsid w:val="00167C69"/>
    <w:rsid w:val="00176D45"/>
    <w:rsid w:val="0017714C"/>
    <w:rsid w:val="00185076"/>
    <w:rsid w:val="001865AC"/>
    <w:rsid w:val="001900E9"/>
    <w:rsid w:val="00193162"/>
    <w:rsid w:val="00195559"/>
    <w:rsid w:val="001B2BFA"/>
    <w:rsid w:val="001C01E4"/>
    <w:rsid w:val="001C04CA"/>
    <w:rsid w:val="001C3DF9"/>
    <w:rsid w:val="001D3572"/>
    <w:rsid w:val="001D6906"/>
    <w:rsid w:val="001E37EC"/>
    <w:rsid w:val="001E4CD1"/>
    <w:rsid w:val="001F34DD"/>
    <w:rsid w:val="00206F8B"/>
    <w:rsid w:val="002222FF"/>
    <w:rsid w:val="00222AEC"/>
    <w:rsid w:val="0022502C"/>
    <w:rsid w:val="00227B1E"/>
    <w:rsid w:val="00227CE6"/>
    <w:rsid w:val="00237EDC"/>
    <w:rsid w:val="002407CB"/>
    <w:rsid w:val="002412E5"/>
    <w:rsid w:val="0024355F"/>
    <w:rsid w:val="00251F22"/>
    <w:rsid w:val="00252493"/>
    <w:rsid w:val="00260D87"/>
    <w:rsid w:val="00262CDE"/>
    <w:rsid w:val="00277D97"/>
    <w:rsid w:val="00280855"/>
    <w:rsid w:val="00287E3A"/>
    <w:rsid w:val="002904D9"/>
    <w:rsid w:val="00292A68"/>
    <w:rsid w:val="00294C02"/>
    <w:rsid w:val="002962C8"/>
    <w:rsid w:val="002B2D0A"/>
    <w:rsid w:val="002B59A0"/>
    <w:rsid w:val="002C012E"/>
    <w:rsid w:val="002C3737"/>
    <w:rsid w:val="002C485B"/>
    <w:rsid w:val="002D0661"/>
    <w:rsid w:val="002D33ED"/>
    <w:rsid w:val="002D4629"/>
    <w:rsid w:val="002E3F15"/>
    <w:rsid w:val="002F1BC0"/>
    <w:rsid w:val="00300747"/>
    <w:rsid w:val="00305451"/>
    <w:rsid w:val="00305712"/>
    <w:rsid w:val="0031037D"/>
    <w:rsid w:val="003302B1"/>
    <w:rsid w:val="0033758A"/>
    <w:rsid w:val="003539C9"/>
    <w:rsid w:val="0036136F"/>
    <w:rsid w:val="00376BE5"/>
    <w:rsid w:val="00377D45"/>
    <w:rsid w:val="00387DDC"/>
    <w:rsid w:val="003A7A03"/>
    <w:rsid w:val="003A7C22"/>
    <w:rsid w:val="003B6000"/>
    <w:rsid w:val="003D5189"/>
    <w:rsid w:val="003D5E6E"/>
    <w:rsid w:val="003E3BE9"/>
    <w:rsid w:val="003F1284"/>
    <w:rsid w:val="003F1D28"/>
    <w:rsid w:val="003F72EF"/>
    <w:rsid w:val="00412A75"/>
    <w:rsid w:val="00424C80"/>
    <w:rsid w:val="004347F9"/>
    <w:rsid w:val="00444B4D"/>
    <w:rsid w:val="00446D9B"/>
    <w:rsid w:val="00460C2E"/>
    <w:rsid w:val="00463356"/>
    <w:rsid w:val="00484428"/>
    <w:rsid w:val="0048781D"/>
    <w:rsid w:val="004946B6"/>
    <w:rsid w:val="004B32A0"/>
    <w:rsid w:val="004B4144"/>
    <w:rsid w:val="004B44D1"/>
    <w:rsid w:val="004C016A"/>
    <w:rsid w:val="004C0D43"/>
    <w:rsid w:val="004C4608"/>
    <w:rsid w:val="004D1338"/>
    <w:rsid w:val="004D1859"/>
    <w:rsid w:val="004D366E"/>
    <w:rsid w:val="0051105E"/>
    <w:rsid w:val="00517EA8"/>
    <w:rsid w:val="00526C50"/>
    <w:rsid w:val="00532ED6"/>
    <w:rsid w:val="00544928"/>
    <w:rsid w:val="00546714"/>
    <w:rsid w:val="0056360D"/>
    <w:rsid w:val="00565107"/>
    <w:rsid w:val="0057609A"/>
    <w:rsid w:val="005936EA"/>
    <w:rsid w:val="0059609E"/>
    <w:rsid w:val="005A2512"/>
    <w:rsid w:val="005A4C84"/>
    <w:rsid w:val="005B0A95"/>
    <w:rsid w:val="005C090C"/>
    <w:rsid w:val="005C2D0C"/>
    <w:rsid w:val="005C68EE"/>
    <w:rsid w:val="005D28B2"/>
    <w:rsid w:val="005D4051"/>
    <w:rsid w:val="005E1D2B"/>
    <w:rsid w:val="005E5762"/>
    <w:rsid w:val="005F1F3D"/>
    <w:rsid w:val="005F4667"/>
    <w:rsid w:val="005F7316"/>
    <w:rsid w:val="00607B88"/>
    <w:rsid w:val="00615287"/>
    <w:rsid w:val="00620109"/>
    <w:rsid w:val="00624A72"/>
    <w:rsid w:val="0064225C"/>
    <w:rsid w:val="00664621"/>
    <w:rsid w:val="006667DF"/>
    <w:rsid w:val="00667218"/>
    <w:rsid w:val="00670B62"/>
    <w:rsid w:val="00672705"/>
    <w:rsid w:val="006735D7"/>
    <w:rsid w:val="00680814"/>
    <w:rsid w:val="00691DF1"/>
    <w:rsid w:val="00697E25"/>
    <w:rsid w:val="006B2A06"/>
    <w:rsid w:val="006B337E"/>
    <w:rsid w:val="006B7D0E"/>
    <w:rsid w:val="006C34C8"/>
    <w:rsid w:val="006D1C95"/>
    <w:rsid w:val="006E0415"/>
    <w:rsid w:val="006E1CEA"/>
    <w:rsid w:val="006E53A2"/>
    <w:rsid w:val="006E56BA"/>
    <w:rsid w:val="006E753E"/>
    <w:rsid w:val="00700E49"/>
    <w:rsid w:val="00712019"/>
    <w:rsid w:val="0071284E"/>
    <w:rsid w:val="00715529"/>
    <w:rsid w:val="00715F9F"/>
    <w:rsid w:val="0072366F"/>
    <w:rsid w:val="007272F9"/>
    <w:rsid w:val="007322F4"/>
    <w:rsid w:val="00733431"/>
    <w:rsid w:val="00735826"/>
    <w:rsid w:val="00736EE8"/>
    <w:rsid w:val="007403AF"/>
    <w:rsid w:val="007507BB"/>
    <w:rsid w:val="007529F9"/>
    <w:rsid w:val="007549B1"/>
    <w:rsid w:val="007553BF"/>
    <w:rsid w:val="00762F68"/>
    <w:rsid w:val="007635DB"/>
    <w:rsid w:val="0076362B"/>
    <w:rsid w:val="0076677E"/>
    <w:rsid w:val="00783401"/>
    <w:rsid w:val="00785A9B"/>
    <w:rsid w:val="00790281"/>
    <w:rsid w:val="00791C32"/>
    <w:rsid w:val="007B20EE"/>
    <w:rsid w:val="007C65A3"/>
    <w:rsid w:val="007D04CD"/>
    <w:rsid w:val="007E494D"/>
    <w:rsid w:val="007F116D"/>
    <w:rsid w:val="007F28D7"/>
    <w:rsid w:val="00800F0A"/>
    <w:rsid w:val="00801EFA"/>
    <w:rsid w:val="00802C06"/>
    <w:rsid w:val="00811017"/>
    <w:rsid w:val="00817286"/>
    <w:rsid w:val="00824442"/>
    <w:rsid w:val="00825D1F"/>
    <w:rsid w:val="00826E1E"/>
    <w:rsid w:val="00826E46"/>
    <w:rsid w:val="00835072"/>
    <w:rsid w:val="00843D79"/>
    <w:rsid w:val="00844821"/>
    <w:rsid w:val="00846A8C"/>
    <w:rsid w:val="00854104"/>
    <w:rsid w:val="00860127"/>
    <w:rsid w:val="00861EA0"/>
    <w:rsid w:val="00862768"/>
    <w:rsid w:val="0086461A"/>
    <w:rsid w:val="00864FD0"/>
    <w:rsid w:val="008709D4"/>
    <w:rsid w:val="00874234"/>
    <w:rsid w:val="00875A74"/>
    <w:rsid w:val="0088406C"/>
    <w:rsid w:val="00887C7A"/>
    <w:rsid w:val="00887C84"/>
    <w:rsid w:val="00890FE8"/>
    <w:rsid w:val="0089230C"/>
    <w:rsid w:val="00894838"/>
    <w:rsid w:val="00895366"/>
    <w:rsid w:val="008A4B77"/>
    <w:rsid w:val="008A4C00"/>
    <w:rsid w:val="008A7430"/>
    <w:rsid w:val="008B2EDA"/>
    <w:rsid w:val="008B3AE0"/>
    <w:rsid w:val="008C1E94"/>
    <w:rsid w:val="008D07A6"/>
    <w:rsid w:val="008E4761"/>
    <w:rsid w:val="008E5284"/>
    <w:rsid w:val="008F43EA"/>
    <w:rsid w:val="009007B1"/>
    <w:rsid w:val="00903323"/>
    <w:rsid w:val="0090462B"/>
    <w:rsid w:val="0090573D"/>
    <w:rsid w:val="009064F6"/>
    <w:rsid w:val="00926A89"/>
    <w:rsid w:val="0093273D"/>
    <w:rsid w:val="009331CD"/>
    <w:rsid w:val="00956D24"/>
    <w:rsid w:val="00957B3E"/>
    <w:rsid w:val="00964763"/>
    <w:rsid w:val="0096480D"/>
    <w:rsid w:val="00974A97"/>
    <w:rsid w:val="009766DC"/>
    <w:rsid w:val="00992C9D"/>
    <w:rsid w:val="009942F7"/>
    <w:rsid w:val="009A0563"/>
    <w:rsid w:val="009A0AB0"/>
    <w:rsid w:val="009A2D77"/>
    <w:rsid w:val="009B0D90"/>
    <w:rsid w:val="009B460D"/>
    <w:rsid w:val="009C018C"/>
    <w:rsid w:val="009C68E9"/>
    <w:rsid w:val="009D38B5"/>
    <w:rsid w:val="009D4847"/>
    <w:rsid w:val="009F4F73"/>
    <w:rsid w:val="009F72FF"/>
    <w:rsid w:val="009F7C9C"/>
    <w:rsid w:val="00A018B8"/>
    <w:rsid w:val="00A02810"/>
    <w:rsid w:val="00A05DBB"/>
    <w:rsid w:val="00A128F2"/>
    <w:rsid w:val="00A14AD1"/>
    <w:rsid w:val="00A14FC0"/>
    <w:rsid w:val="00A15316"/>
    <w:rsid w:val="00A2151B"/>
    <w:rsid w:val="00A22A72"/>
    <w:rsid w:val="00A23351"/>
    <w:rsid w:val="00A271DB"/>
    <w:rsid w:val="00A32C0E"/>
    <w:rsid w:val="00A37107"/>
    <w:rsid w:val="00A4741E"/>
    <w:rsid w:val="00A53AF5"/>
    <w:rsid w:val="00A555B4"/>
    <w:rsid w:val="00A645EA"/>
    <w:rsid w:val="00A678F5"/>
    <w:rsid w:val="00A67FCD"/>
    <w:rsid w:val="00A7707B"/>
    <w:rsid w:val="00A838A2"/>
    <w:rsid w:val="00AB2DEE"/>
    <w:rsid w:val="00AB5EA6"/>
    <w:rsid w:val="00AD77C3"/>
    <w:rsid w:val="00AF088A"/>
    <w:rsid w:val="00AF0996"/>
    <w:rsid w:val="00B0629F"/>
    <w:rsid w:val="00B1499E"/>
    <w:rsid w:val="00B15BD5"/>
    <w:rsid w:val="00B163A7"/>
    <w:rsid w:val="00B341C2"/>
    <w:rsid w:val="00B41504"/>
    <w:rsid w:val="00B4744E"/>
    <w:rsid w:val="00B52095"/>
    <w:rsid w:val="00B532DD"/>
    <w:rsid w:val="00BA15F4"/>
    <w:rsid w:val="00BA1EF8"/>
    <w:rsid w:val="00BA2EEA"/>
    <w:rsid w:val="00BB2C1E"/>
    <w:rsid w:val="00BB4D8E"/>
    <w:rsid w:val="00BB720D"/>
    <w:rsid w:val="00BB7289"/>
    <w:rsid w:val="00BC5451"/>
    <w:rsid w:val="00BD1273"/>
    <w:rsid w:val="00BD22B6"/>
    <w:rsid w:val="00BD4E38"/>
    <w:rsid w:val="00BE4171"/>
    <w:rsid w:val="00C07D95"/>
    <w:rsid w:val="00C1072D"/>
    <w:rsid w:val="00C3125D"/>
    <w:rsid w:val="00C400B4"/>
    <w:rsid w:val="00C436D9"/>
    <w:rsid w:val="00C47E56"/>
    <w:rsid w:val="00C54171"/>
    <w:rsid w:val="00C60574"/>
    <w:rsid w:val="00C616DE"/>
    <w:rsid w:val="00C61E9D"/>
    <w:rsid w:val="00C717B4"/>
    <w:rsid w:val="00C80980"/>
    <w:rsid w:val="00C82036"/>
    <w:rsid w:val="00C821A8"/>
    <w:rsid w:val="00C835BA"/>
    <w:rsid w:val="00C96E98"/>
    <w:rsid w:val="00CA0CDD"/>
    <w:rsid w:val="00CB7ACF"/>
    <w:rsid w:val="00CC27C2"/>
    <w:rsid w:val="00CC282A"/>
    <w:rsid w:val="00D01D8D"/>
    <w:rsid w:val="00D01D9F"/>
    <w:rsid w:val="00D06E6D"/>
    <w:rsid w:val="00D126A9"/>
    <w:rsid w:val="00D22FDF"/>
    <w:rsid w:val="00D2709C"/>
    <w:rsid w:val="00D40F6E"/>
    <w:rsid w:val="00D470EB"/>
    <w:rsid w:val="00D47B05"/>
    <w:rsid w:val="00D556D9"/>
    <w:rsid w:val="00D56535"/>
    <w:rsid w:val="00D60B28"/>
    <w:rsid w:val="00D631F6"/>
    <w:rsid w:val="00D64DDF"/>
    <w:rsid w:val="00D74869"/>
    <w:rsid w:val="00D93142"/>
    <w:rsid w:val="00D95316"/>
    <w:rsid w:val="00DC3E36"/>
    <w:rsid w:val="00DC4233"/>
    <w:rsid w:val="00DC64F0"/>
    <w:rsid w:val="00DD171B"/>
    <w:rsid w:val="00DD6644"/>
    <w:rsid w:val="00DF1552"/>
    <w:rsid w:val="00DF501C"/>
    <w:rsid w:val="00DF5E9C"/>
    <w:rsid w:val="00E01757"/>
    <w:rsid w:val="00E04E2B"/>
    <w:rsid w:val="00E15CA8"/>
    <w:rsid w:val="00E31A16"/>
    <w:rsid w:val="00E33817"/>
    <w:rsid w:val="00E33BEA"/>
    <w:rsid w:val="00E352AD"/>
    <w:rsid w:val="00E643C0"/>
    <w:rsid w:val="00E6507B"/>
    <w:rsid w:val="00E66D27"/>
    <w:rsid w:val="00E70BCA"/>
    <w:rsid w:val="00E93BC8"/>
    <w:rsid w:val="00E9704C"/>
    <w:rsid w:val="00EA5CA3"/>
    <w:rsid w:val="00EB152F"/>
    <w:rsid w:val="00EB577E"/>
    <w:rsid w:val="00EC01B3"/>
    <w:rsid w:val="00EC696C"/>
    <w:rsid w:val="00ED3049"/>
    <w:rsid w:val="00EE7F82"/>
    <w:rsid w:val="00F13BA3"/>
    <w:rsid w:val="00F20151"/>
    <w:rsid w:val="00F433EC"/>
    <w:rsid w:val="00F43735"/>
    <w:rsid w:val="00F508CB"/>
    <w:rsid w:val="00F56753"/>
    <w:rsid w:val="00F56E25"/>
    <w:rsid w:val="00F640F1"/>
    <w:rsid w:val="00F7506F"/>
    <w:rsid w:val="00F80D6B"/>
    <w:rsid w:val="00F81AC1"/>
    <w:rsid w:val="00F86DD6"/>
    <w:rsid w:val="00F87A54"/>
    <w:rsid w:val="00F9157F"/>
    <w:rsid w:val="00F950B7"/>
    <w:rsid w:val="00FA2559"/>
    <w:rsid w:val="00FA3A56"/>
    <w:rsid w:val="00FA7356"/>
    <w:rsid w:val="00FB7A54"/>
    <w:rsid w:val="00FC43E7"/>
    <w:rsid w:val="00FE1FBA"/>
    <w:rsid w:val="00FF027F"/>
    <w:rsid w:val="00FF2A7F"/>
    <w:rsid w:val="00FF549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D74DA"/>
  <w15:chartTrackingRefBased/>
  <w15:docId w15:val="{DF8438C6-D7E8-4AEF-8922-310C35DC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DAF"/>
    <w:pPr>
      <w:tabs>
        <w:tab w:val="center" w:pos="4252"/>
        <w:tab w:val="right" w:pos="8504"/>
      </w:tabs>
      <w:spacing w:after="0" w:line="240" w:lineRule="auto"/>
    </w:pPr>
    <w:rPr>
      <w:rFonts w:ascii="IberPangea Text Light" w:hAnsi="IberPangea Text Light" w:cs="Times New Roman (Cuerpo en alfa"/>
      <w:szCs w:val="32"/>
    </w:rPr>
  </w:style>
  <w:style w:type="character" w:customStyle="1" w:styleId="EncabezadoCar">
    <w:name w:val="Encabezado Car"/>
    <w:basedOn w:val="Fuentedeprrafopredeter"/>
    <w:link w:val="Encabezado"/>
    <w:uiPriority w:val="99"/>
    <w:rsid w:val="00140DAF"/>
    <w:rPr>
      <w:rFonts w:ascii="IberPangea Text Light" w:hAnsi="IberPangea Text Light" w:cs="Times New Roman (Cuerpo en alfa"/>
      <w:szCs w:val="32"/>
    </w:rPr>
  </w:style>
  <w:style w:type="paragraph" w:customStyle="1" w:styleId="DBodytext">
    <w:name w:val="D.Body text"/>
    <w:basedOn w:val="NormalWeb"/>
    <w:link w:val="DBodytextChar"/>
    <w:qFormat/>
    <w:rsid w:val="00140DAF"/>
    <w:pPr>
      <w:spacing w:before="120" w:after="120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140DAF"/>
    <w:rPr>
      <w:rFonts w:ascii="IberPangea Text Light" w:eastAsia="Times New Roman" w:hAnsi="IberPangea Text Light" w:cs="Times New Roman"/>
      <w:color w:val="000000"/>
      <w:sz w:val="20"/>
      <w:lang w:eastAsia="es-ES"/>
    </w:rPr>
  </w:style>
  <w:style w:type="paragraph" w:customStyle="1" w:styleId="MFootnote">
    <w:name w:val="M.Footnote"/>
    <w:basedOn w:val="Normal"/>
    <w:link w:val="MFootnoteChar"/>
    <w:qFormat/>
    <w:rsid w:val="00140DAF"/>
    <w:pPr>
      <w:autoSpaceDE w:val="0"/>
      <w:autoSpaceDN w:val="0"/>
      <w:adjustRightInd w:val="0"/>
      <w:spacing w:after="0" w:line="240" w:lineRule="auto"/>
    </w:pPr>
    <w:rPr>
      <w:rFonts w:ascii="IberPangea Text Light" w:hAnsi="IberPangea Text Light" w:cs="Times New Roman"/>
      <w:iCs/>
      <w:color w:val="00402A"/>
      <w:sz w:val="16"/>
      <w:szCs w:val="14"/>
    </w:rPr>
  </w:style>
  <w:style w:type="character" w:customStyle="1" w:styleId="MFootnoteChar">
    <w:name w:val="M.Footnote Char"/>
    <w:basedOn w:val="Fuentedeprrafopredeter"/>
    <w:link w:val="MFootnote"/>
    <w:rsid w:val="00140DAF"/>
    <w:rPr>
      <w:rFonts w:ascii="IberPangea Text Light" w:hAnsi="IberPangea Text Light" w:cs="Times New Roman"/>
      <w:iCs/>
      <w:color w:val="00402A"/>
      <w:sz w:val="16"/>
      <w:szCs w:val="14"/>
    </w:rPr>
  </w:style>
  <w:style w:type="paragraph" w:styleId="NormalWeb">
    <w:name w:val="Normal (Web)"/>
    <w:basedOn w:val="Normal"/>
    <w:uiPriority w:val="99"/>
    <w:unhideWhenUsed/>
    <w:rsid w:val="00140DA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90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4D9"/>
  </w:style>
  <w:style w:type="character" w:styleId="Hipervnculo">
    <w:name w:val="Hyperlink"/>
    <w:basedOn w:val="Fuentedeprrafopredeter"/>
    <w:unhideWhenUsed/>
    <w:rsid w:val="003F72EF"/>
    <w:rPr>
      <w:color w:val="0000FF" w:themeColor="hyperlink"/>
      <w:u w:val="single"/>
    </w:rPr>
  </w:style>
  <w:style w:type="paragraph" w:customStyle="1" w:styleId="CuerpoA">
    <w:name w:val="Cuerpo A"/>
    <w:rsid w:val="00A05DBB"/>
    <w:pP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lang w:val="es-ES_tradnl" w:eastAsia="es-ES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inguno">
    <w:name w:val="Ninguno"/>
    <w:rsid w:val="00A05DBB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33758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90FE8"/>
    <w:pPr>
      <w:ind w:left="720"/>
      <w:contextualSpacing/>
    </w:pPr>
  </w:style>
  <w:style w:type="paragraph" w:styleId="Revisin">
    <w:name w:val="Revision"/>
    <w:hidden/>
    <w:uiPriority w:val="99"/>
    <w:semiHidden/>
    <w:rsid w:val="0057609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046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46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46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46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462B"/>
    <w:rPr>
      <w:b/>
      <w:bCs/>
      <w:sz w:val="20"/>
      <w:szCs w:val="20"/>
    </w:rPr>
  </w:style>
  <w:style w:type="character" w:customStyle="1" w:styleId="ui-provider">
    <w:name w:val="ui-provider"/>
    <w:basedOn w:val="Fuentedeprrafopredeter"/>
    <w:rsid w:val="00F640F1"/>
  </w:style>
  <w:style w:type="paragraph" w:customStyle="1" w:styleId="Poromisin">
    <w:name w:val="Por omisión"/>
    <w:rsid w:val="009327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rsid w:val="0093273D"/>
    <w:pPr>
      <w:numPr>
        <w:numId w:val="2"/>
      </w:numPr>
    </w:pPr>
  </w:style>
  <w:style w:type="character" w:styleId="Textoennegrita">
    <w:name w:val="Strong"/>
    <w:basedOn w:val="Fuentedeprrafopredeter"/>
    <w:uiPriority w:val="22"/>
    <w:qFormat/>
    <w:rsid w:val="0096480D"/>
    <w:rPr>
      <w:b/>
      <w:bCs/>
    </w:rPr>
  </w:style>
  <w:style w:type="table" w:styleId="Tablaconcuadrcula">
    <w:name w:val="Table Grid"/>
    <w:basedOn w:val="Tablanormal"/>
    <w:uiPriority w:val="59"/>
    <w:rsid w:val="004C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1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6E648944EA9E4788D51E1A6C631492" ma:contentTypeVersion="10" ma:contentTypeDescription="Crear nuevo documento." ma:contentTypeScope="" ma:versionID="4ca6b2d827e85db44e1de6514c787ed5">
  <xsd:schema xmlns:xsd="http://www.w3.org/2001/XMLSchema" xmlns:xs="http://www.w3.org/2001/XMLSchema" xmlns:p="http://schemas.microsoft.com/office/2006/metadata/properties" xmlns:ns2="8c6037b3-b4cf-4425-8e81-20ce64fbfa41" xmlns:ns3="c0915918-66b2-4f9a-abb8-c15814919583" targetNamespace="http://schemas.microsoft.com/office/2006/metadata/properties" ma:root="true" ma:fieldsID="f536cac8b4a14eaa3448ba8e2c435ae5" ns2:_="" ns3:_="">
    <xsd:import namespace="8c6037b3-b4cf-4425-8e81-20ce64fbfa41"/>
    <xsd:import namespace="c0915918-66b2-4f9a-abb8-c15814919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037b3-b4cf-4425-8e81-20ce64fbf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e84e374b-9a04-4d73-a251-4ce1ae2c8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15918-66b2-4f9a-abb8-c158149195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37c8c-e4ba-406c-bfa2-432e384a33f3}" ma:internalName="TaxCatchAll" ma:showField="CatchAllData" ma:web="c0915918-66b2-4f9a-abb8-c15814919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6C038-089D-44C1-A330-5F27E8AF37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61028-601E-4B9D-BB32-3054EE877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037b3-b4cf-4425-8e81-20ce64fbfa41"/>
    <ds:schemaRef ds:uri="c0915918-66b2-4f9a-abb8-c15814919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881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IBERDROLA S.A.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Boyer, Juan Jose</dc:creator>
  <cp:keywords>, docId:E0581269064FE2B2B0191EFBAC437FE9</cp:keywords>
  <dc:description/>
  <cp:lastModifiedBy>Prodigioso Volcán 31</cp:lastModifiedBy>
  <cp:revision>3</cp:revision>
  <cp:lastPrinted>2024-01-17T15:04:00Z</cp:lastPrinted>
  <dcterms:created xsi:type="dcterms:W3CDTF">2025-08-06T08:42:00Z</dcterms:created>
  <dcterms:modified xsi:type="dcterms:W3CDTF">2025-08-06T08:43:00Z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b1752-a977-4927-b9e6-e48a43684aee_Enabled">
    <vt:lpwstr>true</vt:lpwstr>
  </property>
  <property fmtid="{D5CDD505-2E9C-101B-9397-08002B2CF9AE}" pid="3" name="MSIP_Label_624b1752-a977-4927-b9e6-e48a43684aee_SetDate">
    <vt:lpwstr>2023-05-24T09:53:59Z</vt:lpwstr>
  </property>
  <property fmtid="{D5CDD505-2E9C-101B-9397-08002B2CF9AE}" pid="4" name="MSIP_Label_624b1752-a977-4927-b9e6-e48a43684aee_Method">
    <vt:lpwstr>Privileged</vt:lpwstr>
  </property>
  <property fmtid="{D5CDD505-2E9C-101B-9397-08002B2CF9AE}" pid="5" name="MSIP_Label_624b1752-a977-4927-b9e6-e48a43684aee_Name">
    <vt:lpwstr>Public</vt:lpwstr>
  </property>
  <property fmtid="{D5CDD505-2E9C-101B-9397-08002B2CF9AE}" pid="6" name="MSIP_Label_624b1752-a977-4927-b9e6-e48a43684aee_SiteId">
    <vt:lpwstr>031a09bc-a2bf-44df-888e-4e09355b7a24</vt:lpwstr>
  </property>
  <property fmtid="{D5CDD505-2E9C-101B-9397-08002B2CF9AE}" pid="7" name="MSIP_Label_624b1752-a977-4927-b9e6-e48a43684aee_ActionId">
    <vt:lpwstr>12bd0b3a-f2f2-468c-8aa5-357294cd8f13</vt:lpwstr>
  </property>
  <property fmtid="{D5CDD505-2E9C-101B-9397-08002B2CF9AE}" pid="8" name="MSIP_Label_624b1752-a977-4927-b9e6-e48a43684aee_ContentBits">
    <vt:lpwstr>0</vt:lpwstr>
  </property>
  <property fmtid="{D5CDD505-2E9C-101B-9397-08002B2CF9AE}" pid="9" name="_NewReviewCycle">
    <vt:lpwstr/>
  </property>
</Properties>
</file>