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D706" w14:textId="5664B2FE" w:rsidR="00A14FC0" w:rsidRDefault="009A0563" w:rsidP="000D1469">
      <w:pPr>
        <w:shd w:val="clear" w:color="auto" w:fill="FFFFFF"/>
        <w:spacing w:after="360" w:line="240" w:lineRule="auto"/>
        <w:ind w:right="-144"/>
        <w:jc w:val="both"/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</w:pPr>
      <w:bookmarkStart w:id="0" w:name="_Toc26359369"/>
      <w:r>
        <w:rPr>
          <w:rFonts w:ascii="IberPangea Text" w:eastAsia="Times New Roman" w:hAnsi="IberPangea Text" w:cs="IberPangea Text"/>
          <w:b/>
          <w:bCs/>
          <w:noProof/>
          <w:color w:val="00A343"/>
          <w:sz w:val="40"/>
          <w:szCs w:val="40"/>
          <w:lang w:eastAsia="es-ES"/>
        </w:rPr>
        <w:drawing>
          <wp:anchor distT="0" distB="0" distL="114300" distR="114300" simplePos="0" relativeHeight="251658240" behindDoc="1" locked="0" layoutInCell="1" allowOverlap="1" wp14:anchorId="5651CBE1" wp14:editId="0CFC64CE">
            <wp:simplePos x="0" y="0"/>
            <wp:positionH relativeFrom="column">
              <wp:posOffset>2930525</wp:posOffset>
            </wp:positionH>
            <wp:positionV relativeFrom="paragraph">
              <wp:posOffset>-986790</wp:posOffset>
            </wp:positionV>
            <wp:extent cx="1018819" cy="767080"/>
            <wp:effectExtent l="0" t="0" r="0" b="0"/>
            <wp:wrapNone/>
            <wp:docPr id="2098511086" name="Imagen 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11086" name="Imagen 4" descr="Logotip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19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1CD" w:rsidRP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 xml:space="preserve">Iberdrola recibe </w:t>
      </w:r>
      <w:r w:rsid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>los</w:t>
      </w:r>
      <w:r w:rsidR="009331CD" w:rsidRP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 xml:space="preserve"> últimos </w:t>
      </w:r>
      <w:proofErr w:type="spellStart"/>
      <w:r w:rsidR="009331CD" w:rsidRP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>monopilotes</w:t>
      </w:r>
      <w:proofErr w:type="spellEnd"/>
      <w:r w:rsidR="009331CD" w:rsidRP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 xml:space="preserve"> fabricados por Navantia</w:t>
      </w:r>
      <w:r w:rsid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 xml:space="preserve"> - </w:t>
      </w:r>
      <w:proofErr w:type="spellStart"/>
      <w:r w:rsidR="009331CD" w:rsidRP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>Windar</w:t>
      </w:r>
      <w:proofErr w:type="spellEnd"/>
      <w:r w:rsidR="009331CD" w:rsidRP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 xml:space="preserve"> </w:t>
      </w:r>
      <w:r w:rsid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>para</w:t>
      </w:r>
      <w:r w:rsidR="009331CD" w:rsidRP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 xml:space="preserve"> su parque eólico marino </w:t>
      </w:r>
      <w:proofErr w:type="spellStart"/>
      <w:r w:rsidR="009331CD" w:rsidRP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>Windanker</w:t>
      </w:r>
      <w:proofErr w:type="spellEnd"/>
      <w:r w:rsidR="009331CD" w:rsidRPr="009331CD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eastAsia="es-ES"/>
        </w:rPr>
        <w:t xml:space="preserve"> </w:t>
      </w:r>
    </w:p>
    <w:p w14:paraId="2997CEFF" w14:textId="1EF1640A" w:rsidR="007549B1" w:rsidRDefault="0076677E" w:rsidP="004C0D43">
      <w:pPr>
        <w:pStyle w:val="Prrafodelista"/>
        <w:numPr>
          <w:ilvl w:val="0"/>
          <w:numId w:val="3"/>
        </w:numP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Se trata del segundo contrato de </w:t>
      </w:r>
      <w:proofErr w:type="spellStart"/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monopilotes</w:t>
      </w:r>
      <w:proofErr w:type="spellEnd"/>
      <w:r w:rsidR="00992C9D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, tras East </w:t>
      </w:r>
      <w:proofErr w:type="spellStart"/>
      <w:r w:rsidR="00992C9D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Anglia</w:t>
      </w:r>
      <w:proofErr w:type="spellEnd"/>
      <w:r w:rsidR="00992C9D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THREE,</w:t>
      </w:r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entre las compañías, que se suman a una colaboración estratégica que supera los 1.000 millones de</w:t>
      </w:r>
      <w:r w:rsidR="005936EA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euros en</w:t>
      </w:r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encargos</w:t>
      </w:r>
    </w:p>
    <w:p w14:paraId="216B621D" w14:textId="401C5795" w:rsidR="007549B1" w:rsidRDefault="007549B1" w:rsidP="007549B1">
      <w:pPr>
        <w:pStyle w:val="Prrafodelista"/>
        <w:ind w:left="240"/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16F41F3E" w14:textId="08699ACF" w:rsidR="00FA3A56" w:rsidRPr="004C0D43" w:rsidRDefault="0076677E" w:rsidP="004C0D43">
      <w:pPr>
        <w:pStyle w:val="Prrafodelista"/>
        <w:numPr>
          <w:ilvl w:val="0"/>
          <w:numId w:val="3"/>
        </w:numP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Las piezas se han construido en las nuevas instalaciones que los fabricantes tienen en el astillero de Navantia Seanergies en Fene (A Coruña)</w:t>
      </w:r>
    </w:p>
    <w:p w14:paraId="3C4D8FB1" w14:textId="28DDD12E" w:rsidR="007272F9" w:rsidRPr="007C65A3" w:rsidRDefault="00140DAF" w:rsidP="00835072">
      <w:pPr>
        <w:pStyle w:val="DBodytext"/>
        <w:jc w:val="both"/>
        <w:rPr>
          <w:rFonts w:ascii="IberPangea Text" w:hAnsi="IberPangea Text" w:cs="IberPangea Text"/>
          <w:szCs w:val="20"/>
        </w:rPr>
      </w:pPr>
      <w:r w:rsidRPr="007C65A3">
        <w:rPr>
          <w:rFonts w:ascii="IberPangea Text" w:hAnsi="IberPangea Text" w:cs="IberPangea Text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A1D71E" wp14:editId="08C65A57">
                <wp:simplePos x="0" y="0"/>
                <wp:positionH relativeFrom="column">
                  <wp:posOffset>-9899</wp:posOffset>
                </wp:positionH>
                <wp:positionV relativeFrom="paragraph">
                  <wp:posOffset>77545</wp:posOffset>
                </wp:positionV>
                <wp:extent cx="5405718" cy="0"/>
                <wp:effectExtent l="0" t="0" r="50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57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A34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3D234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6.1pt" to="42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" strokecolor="#00a343" strokeweight=".5pt">
                <v:stroke joinstyle="miter"/>
              </v:line>
            </w:pict>
          </mc:Fallback>
        </mc:AlternateContent>
      </w:r>
      <w:bookmarkEnd w:id="0"/>
    </w:p>
    <w:p w14:paraId="683A16A5" w14:textId="700B5B29" w:rsidR="009331CD" w:rsidRPr="009331CD" w:rsidRDefault="009331CD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Iberdrola ha recibido los últimos </w:t>
      </w:r>
      <w:proofErr w:type="spellStart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monopilotes</w:t>
      </w:r>
      <w:proofErr w:type="spellEnd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para su parque eólico marino Windanker, en el mar Báltico. </w:t>
      </w:r>
      <w:r w:rsidR="005C090C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Tras las construidas para East Anglia THREE, l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as piezas, fabricadas por Navantia Seanergies y Windar Renovables suponen el segundo contrato de </w:t>
      </w:r>
      <w:proofErr w:type="spellStart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monopilotes</w:t>
      </w:r>
      <w:proofErr w:type="spellEnd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de la alianza Navantia – Windar para Iberdrola y se suman a los ya ejecutados previamente en Reino Unido, Alemania, Francia y Estados Unidos, </w:t>
      </w:r>
      <w:r w:rsid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fruto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de una colaboración estratégica que supera los 1.000 millones de euros en encargos durante los últimos diez años, lo que demuestra la confianza de la energética en las empresas españolas. </w:t>
      </w:r>
    </w:p>
    <w:p w14:paraId="17839D19" w14:textId="06106407" w:rsidR="009331CD" w:rsidRDefault="009331CD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La producción de estas </w:t>
      </w:r>
      <w:r w:rsidR="0086461A" w:rsidRPr="0086461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cimentaciones</w:t>
      </w:r>
      <w:r w:rsidR="0086461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se ha llevado a cabo en la fábrica de </w:t>
      </w:r>
      <w:proofErr w:type="spellStart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monopilotes</w:t>
      </w:r>
      <w:proofErr w:type="spellEnd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que ambas compañías operan conjuntamente en el astillero de Navantia </w:t>
      </w:r>
      <w:r w:rsidR="0036136F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Seanergies 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en Fene (A Coruña). Cada una de las piezas miden hasta 84 metros de longitud, 10 metros de diámetro y pesan hasta 2.100 toneladas</w:t>
      </w:r>
      <w:r w:rsidR="00992C9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, y han supuesto la creación de 300 puestos de trabajo. </w:t>
      </w:r>
    </w:p>
    <w:p w14:paraId="46DBFEBB" w14:textId="37EB062E" w:rsidR="0076677E" w:rsidRPr="009331CD" w:rsidRDefault="0076677E" w:rsidP="0076677E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El pedido forma parte del acuerdo marco al que las compañías llegaron en verano de 2021 para la fabricación y el suministro de cimentaciones tipo </w:t>
      </w:r>
      <w:proofErr w:type="spellStart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monopilote</w:t>
      </w:r>
      <w:proofErr w:type="spellEnd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XXL. La alianza reforzó el papel tractor de Iberdrola en la industria local, y dotó de estabilidad y certidumbre al consorcio Navantia-Windar para construir una fábrica de este tipo de piezas, las más demandadas dentro del sector de las cimentaciones marinas fijas, en los terrenos del astillero de Navantia </w:t>
      </w:r>
      <w:r w:rsidR="0036136F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Seanergies 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en Fene.</w:t>
      </w:r>
    </w:p>
    <w:p w14:paraId="79623018" w14:textId="55F77FF3" w:rsidR="0076677E" w:rsidRDefault="0076677E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Las actuaciones en esta fábrica han supuesto la inversión de 36 millones de euros </w:t>
      </w: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para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la adaptación de una nave </w:t>
      </w: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que permite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curvar chapa de gran espesor y de hasta 12 metros de diámetro, nuevas cabinas de pintado y zonas de almacenamiento para producto terminado, así como la incorporación de equipos de última tecnología necesarios para la fabricación. </w:t>
      </w:r>
    </w:p>
    <w:p w14:paraId="3119E4BC" w14:textId="13A99DF2" w:rsidR="0076677E" w:rsidRDefault="009331CD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El parque eólico marino de Windanker, se localiza en aguas alemanas</w:t>
      </w: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y forma parte del Hub que Iberdrola está construyendo en el Mar Báltico, que sumará más de 1.100 MW de potencia instalada</w:t>
      </w:r>
      <w:r w:rsidR="0076677E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y una inversión conjunta de 3.500 millones de euros</w:t>
      </w: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.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</w:t>
      </w:r>
      <w:r w:rsidR="0076677E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De este Hub también forman parte los parques </w:t>
      </w:r>
      <w:proofErr w:type="spellStart"/>
      <w:r w:rsidR="0076677E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Wikinger</w:t>
      </w:r>
      <w:proofErr w:type="spellEnd"/>
      <w:r w:rsidR="0076677E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(350 MW), ya en operación, y Baltic Eagle (476 MW), que </w:t>
      </w:r>
      <w:r w:rsidR="001900E9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recientemente también fue puesto en marcha. </w:t>
      </w:r>
    </w:p>
    <w:p w14:paraId="28921F7C" w14:textId="15360DE8" w:rsidR="009331CD" w:rsidRDefault="009331CD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lastRenderedPageBreak/>
        <w:t>C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uando </w:t>
      </w:r>
      <w:proofErr w:type="spellStart"/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Windanker</w:t>
      </w:r>
      <w:proofErr w:type="spellEnd"/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entre en funcionamiento</w:t>
      </w: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,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en 2026</w:t>
      </w: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,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contará con una </w:t>
      </w: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capacidad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de 315 MW</w:t>
      </w: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. Gracias a la apuesta pionera de Iberdrola en eólica marina y a su experiencia en el Mar Báltico, la eficiencia de Windanker se ha maximizado</w:t>
      </w:r>
      <w:r w:rsidR="0076677E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,</w:t>
      </w: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</w:t>
      </w:r>
      <w:r w:rsidR="0076677E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lo que ha hecho posible su viabilidad. El parque contará con turbinas de nueva generación con una potencia unitaria de aproximadamente 15 MW. </w:t>
      </w:r>
    </w:p>
    <w:p w14:paraId="54E8FE64" w14:textId="624CEE08" w:rsidR="00817286" w:rsidRPr="009331CD" w:rsidRDefault="00715F9F" w:rsidP="00715F9F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"</w:t>
      </w:r>
      <w:r w:rsidR="00817286" w:rsidRPr="00817286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Desde Navantia queremos expresar, nuestro agradecimiento a Iberdrola por la confianza depositada una vez más en Navantia </w:t>
      </w:r>
      <w:proofErr w:type="spellStart"/>
      <w:r w:rsidR="00817286" w:rsidRPr="00817286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Seanergies</w:t>
      </w:r>
      <w:proofErr w:type="spellEnd"/>
      <w:r w:rsidR="00817286" w:rsidRPr="00817286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, y también en nuestro socio </w:t>
      </w:r>
      <w:proofErr w:type="spellStart"/>
      <w:r w:rsidR="00817286" w:rsidRPr="00817286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Windar</w:t>
      </w:r>
      <w:proofErr w:type="spellEnd"/>
      <w:r w:rsidR="00817286" w:rsidRPr="00817286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. El pasado diciembre Navantia celebraba una década de eólica marina contada desde un primer contrato con Iberdrola. Desde entonces hemos suministrado a Iberdrola cimentaciones y subestaciones offshore para sus parques eólicos, lo que ha contribuido a reforzar el desarrollo de la cadena de suministro nacional", ha declarado Ricardo Domínguez, presidente de Navantia.</w:t>
      </w:r>
    </w:p>
    <w:p w14:paraId="727A9B8C" w14:textId="1174B14E" w:rsidR="000D69E8" w:rsidRDefault="000D69E8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 w:rsidRP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Para el </w:t>
      </w:r>
      <w:r w:rsidR="00817286" w:rsidRP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presidente ejecutivo</w:t>
      </w:r>
      <w:r w:rsidRP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de </w:t>
      </w:r>
      <w:proofErr w:type="spellStart"/>
      <w:r w:rsidRP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Windar</w:t>
      </w:r>
      <w:proofErr w:type="spellEnd"/>
      <w:r w:rsidRP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Renovables, Orlando Alonso “</w:t>
      </w:r>
      <w:proofErr w:type="spellStart"/>
      <w:r w:rsidRP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Windar</w:t>
      </w:r>
      <w:proofErr w:type="spellEnd"/>
      <w:r w:rsidRP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Renovables valora este pedido de Iberdrola como una evidencia del alto nivel de calidad de nuestros productos y la fiabilidad de nuestros procesos y nuestra colaboración con Navantia </w:t>
      </w:r>
      <w:proofErr w:type="spellStart"/>
      <w:r w:rsidRP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Seanergies</w:t>
      </w:r>
      <w:proofErr w:type="spellEnd"/>
      <w:r w:rsidRP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desde hace más de nueve años. En este sentido, trabajamos día a día para posicionar a esta alianza estratégica empresarial y a nuestra compañía en la vanguardia de los nuevos desarrollos de energías renovables en el mercado europeo y a nivel internacional”. </w:t>
      </w:r>
    </w:p>
    <w:p w14:paraId="1598B560" w14:textId="657BAE18" w:rsidR="00715F9F" w:rsidRPr="00715F9F" w:rsidRDefault="00715F9F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</w:rPr>
      </w:pPr>
      <w:r w:rsidRPr="00715F9F">
        <w:rPr>
          <w:rFonts w:ascii="IberPangea Text" w:hAnsi="IberPangea Text" w:cs="IberPangea Text"/>
          <w:color w:val="3D3D3D"/>
          <w:szCs w:val="20"/>
          <w:shd w:val="clear" w:color="auto" w:fill="FFFFFF"/>
        </w:rPr>
        <w:t xml:space="preserve">“Esta entrega es una muestra más de la vocación tractora de Iberdrola con el tejido industrial español. Llevamos más de 10 años impulsando la generación eólica marina en el mundo y siempre tratamos de desarrollar todos nuestros proyectos, además de con industria local, con empresas españolas y con acuerdos a largo plazo, lo que aporta estabilidad, visibilidad internacional y certidumbre a nuestros proveedores, generando actividad y puestos de trabajo de forma sostenida”, afirma Álvaro Martínez, director de eólica marina de Iberdrola. </w:t>
      </w:r>
    </w:p>
    <w:p w14:paraId="1C0C0FB2" w14:textId="6AAF3596" w:rsidR="0076677E" w:rsidRPr="00FF2A7F" w:rsidRDefault="00FF2A7F" w:rsidP="009331CD">
      <w:pPr>
        <w:pStyle w:val="DBodytext"/>
        <w:jc w:val="both"/>
        <w:rPr>
          <w:rFonts w:ascii="IberPangea Text" w:hAnsi="IberPangea Text" w:cs="IberPangea Text"/>
          <w:b/>
          <w:bCs/>
          <w:color w:val="00A343"/>
          <w:sz w:val="24"/>
          <w:szCs w:val="24"/>
        </w:rPr>
      </w:pPr>
      <w:r w:rsidRPr="00FF2A7F">
        <w:rPr>
          <w:rFonts w:ascii="IberPangea Text" w:hAnsi="IberPangea Text" w:cs="IberPangea Text"/>
          <w:b/>
          <w:bCs/>
          <w:color w:val="00A343"/>
          <w:sz w:val="24"/>
          <w:szCs w:val="24"/>
        </w:rPr>
        <w:t>Trabajos para East Anglia THREE</w:t>
      </w:r>
    </w:p>
    <w:p w14:paraId="14441C1A" w14:textId="7BBFE6ED" w:rsidR="009331CD" w:rsidRPr="009331CD" w:rsidRDefault="009331CD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En paralelo a la finalización del proyecto de </w:t>
      </w:r>
      <w:proofErr w:type="spellStart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Windanker</w:t>
      </w:r>
      <w:proofErr w:type="spellEnd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, Navantia </w:t>
      </w:r>
      <w:proofErr w:type="spellStart"/>
      <w:r w:rsidR="0036136F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Seanergies</w:t>
      </w:r>
      <w:proofErr w:type="spellEnd"/>
      <w:r w:rsidR="0036136F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y </w:t>
      </w:r>
      <w:proofErr w:type="spellStart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Windar</w:t>
      </w:r>
      <w:proofErr w:type="spellEnd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</w:t>
      </w:r>
      <w:r w:rsid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Renovables 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trabajan actualmente también para Iberdrola en la fabricación de </w:t>
      </w:r>
      <w:proofErr w:type="spellStart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monopilotes</w:t>
      </w:r>
      <w:proofErr w:type="spellEnd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para el parque eólico marino East Anglia THREE (EA3), ubicado en aguas del Reino Unido y que formará parte del complejo East Anglia Hub, que alcanzará los 2.900 MW de capacidad instalada. En el marco de este proyecto, la alianza Navantia-</w:t>
      </w:r>
      <w:proofErr w:type="spellStart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Windar</w:t>
      </w:r>
      <w:proofErr w:type="spellEnd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construye 45 </w:t>
      </w:r>
      <w:proofErr w:type="spellStart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monopilotes</w:t>
      </w:r>
      <w:proofErr w:type="spellEnd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en Fene, mientras que </w:t>
      </w:r>
      <w:proofErr w:type="spellStart"/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Windar</w:t>
      </w:r>
      <w:proofErr w:type="spellEnd"/>
      <w:r w:rsidR="000D69E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Renovables</w:t>
      </w:r>
      <w:r w:rsidRPr="009331CD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fabrica las 95 piezas de transición en su planta de Avilés (Asturias).</w:t>
      </w:r>
    </w:p>
    <w:p w14:paraId="347FFCA4" w14:textId="2C24CAB0" w:rsidR="003539C9" w:rsidRPr="00FF2A7F" w:rsidRDefault="003539C9" w:rsidP="003539C9">
      <w:pPr>
        <w:pStyle w:val="DBodytext"/>
        <w:jc w:val="both"/>
        <w:rPr>
          <w:rFonts w:ascii="IberPangea Text" w:hAnsi="IberPangea Text" w:cs="IberPangea Text"/>
          <w:b/>
          <w:bCs/>
          <w:color w:val="00A343"/>
          <w:sz w:val="24"/>
          <w:szCs w:val="24"/>
        </w:rPr>
      </w:pPr>
      <w:r>
        <w:rPr>
          <w:rFonts w:ascii="IberPangea Text" w:hAnsi="IberPangea Text" w:cs="IberPangea Text"/>
          <w:b/>
          <w:bCs/>
          <w:color w:val="00A343"/>
          <w:sz w:val="24"/>
          <w:szCs w:val="24"/>
        </w:rPr>
        <w:t>Iberdrola, líder en eólica marina</w:t>
      </w:r>
    </w:p>
    <w:p w14:paraId="7DC13E81" w14:textId="2E15ADAC" w:rsidR="00CC282A" w:rsidRDefault="003539C9" w:rsidP="003539C9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Iberdrola fue pionera en eólica marina,</w:t>
      </w:r>
      <w:r w:rsidR="00CC282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poniendo su primer parque marino,</w:t>
      </w:r>
      <w:r w:rsidR="00CC282A" w:rsidRPr="00CC282A">
        <w:t xml:space="preserve"> </w:t>
      </w:r>
      <w:r w:rsidR="00CC282A" w:rsidRPr="00CC282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West </w:t>
      </w:r>
      <w:proofErr w:type="spellStart"/>
      <w:r w:rsidR="00CC282A" w:rsidRPr="00CC282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of</w:t>
      </w:r>
      <w:proofErr w:type="spellEnd"/>
      <w:r w:rsidR="00CC282A" w:rsidRPr="00CC282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</w:t>
      </w:r>
      <w:proofErr w:type="spellStart"/>
      <w:r w:rsidR="00CC282A" w:rsidRPr="00CC282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Duddon</w:t>
      </w:r>
      <w:proofErr w:type="spellEnd"/>
      <w:r w:rsidR="00CC282A" w:rsidRPr="00CC282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</w:t>
      </w:r>
      <w:proofErr w:type="spellStart"/>
      <w:r w:rsidR="00CC282A" w:rsidRPr="00CC282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Sands</w:t>
      </w:r>
      <w:proofErr w:type="spellEnd"/>
      <w:r w:rsidR="00CC282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, en marcha en 2014, en Inglaterra. Hoy esta</w:t>
      </w:r>
      <w:r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tecnología supone uno de sus mayores vectores de crecimiento. La compañía impulsa la eólica marina por todo el mundo</w:t>
      </w:r>
      <w:r w:rsidR="00CC282A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y cuenta con una sólida cartera de proyectos en Estados Unidos, Reino Unido, Francia y Alemania, además de en Australia y Japón. </w:t>
      </w:r>
    </w:p>
    <w:p w14:paraId="38700298" w14:textId="45942688" w:rsidR="003539C9" w:rsidRDefault="00CC282A" w:rsidP="003539C9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  <w:r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lastRenderedPageBreak/>
        <w:t xml:space="preserve">A cierre del primer </w:t>
      </w:r>
      <w:r w:rsidR="00517EA8"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semestre</w:t>
      </w:r>
      <w:r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de 2025, </w:t>
      </w:r>
      <w:r w:rsid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cuenta</w:t>
      </w:r>
      <w:r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con</w:t>
      </w:r>
      <w:r w:rsidR="00517EA8"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más de</w:t>
      </w:r>
      <w:r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</w:t>
      </w:r>
      <w:r w:rsid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2</w:t>
      </w:r>
      <w:r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.</w:t>
      </w:r>
      <w:r w:rsid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47</w:t>
      </w:r>
      <w:r w:rsidR="00517EA8"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0</w:t>
      </w:r>
      <w:r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MW </w:t>
      </w:r>
      <w:r w:rsid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de capacidad</w:t>
      </w:r>
      <w:r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 instalad</w:t>
      </w:r>
      <w:r w:rsid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a en eólica marina</w:t>
      </w:r>
      <w:r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, con previsión de aumentar</w:t>
      </w:r>
      <w:r w:rsid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 xml:space="preserve">la </w:t>
      </w:r>
      <w:r w:rsidRPr="00517EA8"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  <w:t>hasta los 6.500 MW en 2030 gracias a importantes inversiones en todo el mundo.</w:t>
      </w:r>
    </w:p>
    <w:p w14:paraId="6D2C076F" w14:textId="77777777" w:rsidR="00CC282A" w:rsidRDefault="00CC282A" w:rsidP="00CC282A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</w:p>
    <w:p w14:paraId="50A8CB43" w14:textId="77777777" w:rsidR="00CC282A" w:rsidRDefault="00CC282A" w:rsidP="003539C9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</w:p>
    <w:p w14:paraId="416918F3" w14:textId="77777777" w:rsidR="00CC282A" w:rsidRDefault="00CC282A" w:rsidP="003539C9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</w:p>
    <w:p w14:paraId="402CC1CD" w14:textId="77777777" w:rsidR="003539C9" w:rsidRDefault="003539C9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es-ES_tradnl"/>
        </w:rPr>
      </w:pPr>
    </w:p>
    <w:p w14:paraId="144D14CE" w14:textId="3BD7A3B7" w:rsidR="003539C9" w:rsidRPr="00FA2559" w:rsidRDefault="003539C9" w:rsidP="009331CD">
      <w:pPr>
        <w:pStyle w:val="DBodytext"/>
        <w:jc w:val="both"/>
        <w:rPr>
          <w:rFonts w:ascii="IberPangea Text" w:hAnsi="IberPangea Text" w:cs="IberPangea Text"/>
          <w:szCs w:val="20"/>
          <w:lang w:val="es-ES_tradnl"/>
        </w:rPr>
      </w:pPr>
    </w:p>
    <w:sectPr w:rsidR="003539C9" w:rsidRPr="00FA2559" w:rsidSect="00A678F5">
      <w:headerReference w:type="default" r:id="rId10"/>
      <w:footerReference w:type="default" r:id="rId11"/>
      <w:headerReference w:type="first" r:id="rId12"/>
      <w:pgSz w:w="11906" w:h="16838" w:code="9"/>
      <w:pgMar w:top="1814" w:right="1418" w:bottom="1814" w:left="1985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4CE60" w14:textId="77777777" w:rsidR="00193162" w:rsidRDefault="00193162">
      <w:pPr>
        <w:spacing w:after="0" w:line="240" w:lineRule="auto"/>
      </w:pPr>
      <w:r>
        <w:separator/>
      </w:r>
    </w:p>
  </w:endnote>
  <w:endnote w:type="continuationSeparator" w:id="0">
    <w:p w14:paraId="3B27F2A1" w14:textId="77777777" w:rsidR="00193162" w:rsidRDefault="0019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erPangea Text Light">
    <w:altName w:val="Cambria Math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IberPangea Text">
    <w:altName w:val="Cambria Math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F18D" w14:textId="18A904F6" w:rsidR="004C016A" w:rsidRPr="00670B57" w:rsidRDefault="004C016A" w:rsidP="005D0F2D">
    <w:pPr>
      <w:pStyle w:val="MFootnote"/>
      <w:ind w:right="-569"/>
      <w:rPr>
        <w:rFonts w:ascii="IberPangea Text" w:hAnsi="IberPangea Text" w:cs="IberPangea Text"/>
        <w:noProof/>
        <w:color w:val="3A373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9D99B" w14:textId="77777777" w:rsidR="00193162" w:rsidRDefault="00193162">
      <w:pPr>
        <w:spacing w:after="0" w:line="240" w:lineRule="auto"/>
      </w:pPr>
      <w:r>
        <w:separator/>
      </w:r>
    </w:p>
  </w:footnote>
  <w:footnote w:type="continuationSeparator" w:id="0">
    <w:p w14:paraId="7837D9AC" w14:textId="77777777" w:rsidR="00193162" w:rsidRDefault="0019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772D" w14:textId="2A7DDD18" w:rsidR="004C016A" w:rsidRDefault="008B2EDA" w:rsidP="008B2EDA">
    <w:pPr>
      <w:pStyle w:val="Encabezado"/>
      <w:tabs>
        <w:tab w:val="clear" w:pos="4252"/>
        <w:tab w:val="clear" w:pos="8504"/>
        <w:tab w:val="left" w:pos="4870"/>
      </w:tabs>
      <w:jc w:val="both"/>
    </w:pPr>
    <w:r>
      <w:rPr>
        <w:rFonts w:ascii="IberPangea Text" w:hAnsi="IberPangea Text" w:cs="IberPangea Text"/>
        <w:b/>
        <w:bCs/>
        <w:noProof/>
        <w:color w:val="00A343"/>
        <w:sz w:val="40"/>
        <w:szCs w:val="40"/>
      </w:rPr>
      <w:drawing>
        <wp:anchor distT="0" distB="0" distL="114300" distR="114300" simplePos="0" relativeHeight="251664896" behindDoc="1" locked="0" layoutInCell="1" allowOverlap="1" wp14:anchorId="3B208938" wp14:editId="573EC7B4">
          <wp:simplePos x="0" y="0"/>
          <wp:positionH relativeFrom="column">
            <wp:posOffset>2810510</wp:posOffset>
          </wp:positionH>
          <wp:positionV relativeFrom="paragraph">
            <wp:posOffset>-476250</wp:posOffset>
          </wp:positionV>
          <wp:extent cx="1018819" cy="767080"/>
          <wp:effectExtent l="0" t="0" r="0" b="0"/>
          <wp:wrapNone/>
          <wp:docPr id="1311296770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511086" name="Imagen 4" descr="Logotip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19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563">
      <w:rPr>
        <w:rFonts w:cs="IberPangea Text"/>
        <w:noProof/>
      </w:rPr>
      <w:drawing>
        <wp:anchor distT="0" distB="0" distL="114300" distR="114300" simplePos="0" relativeHeight="251662848" behindDoc="1" locked="0" layoutInCell="1" allowOverlap="1" wp14:anchorId="2F1C28A0" wp14:editId="0EBDAA2D">
          <wp:simplePos x="0" y="0"/>
          <wp:positionH relativeFrom="column">
            <wp:posOffset>1308100</wp:posOffset>
          </wp:positionH>
          <wp:positionV relativeFrom="paragraph">
            <wp:posOffset>-393700</wp:posOffset>
          </wp:positionV>
          <wp:extent cx="1708150" cy="960755"/>
          <wp:effectExtent l="0" t="0" r="6350" b="0"/>
          <wp:wrapNone/>
          <wp:docPr id="195138436" name="Imagen 3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989997" name="Imagen 3" descr="Logotipo, nombre de la empres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DAF">
      <w:rPr>
        <w:noProof/>
      </w:rPr>
      <w:drawing>
        <wp:anchor distT="0" distB="0" distL="114300" distR="114300" simplePos="0" relativeHeight="251657728" behindDoc="0" locked="0" layoutInCell="1" allowOverlap="1" wp14:anchorId="0DAD01FC" wp14:editId="653EF98B">
          <wp:simplePos x="0" y="0"/>
          <wp:positionH relativeFrom="column">
            <wp:posOffset>3830955</wp:posOffset>
          </wp:positionH>
          <wp:positionV relativeFrom="paragraph">
            <wp:posOffset>-194945</wp:posOffset>
          </wp:positionV>
          <wp:extent cx="1688465" cy="591185"/>
          <wp:effectExtent l="0" t="0" r="0" b="0"/>
          <wp:wrapThrough wrapText="bothSides">
            <wp:wrapPolygon edited="0">
              <wp:start x="2681" y="2784"/>
              <wp:lineTo x="1219" y="9744"/>
              <wp:lineTo x="1219" y="18097"/>
              <wp:lineTo x="2681" y="18097"/>
              <wp:lineTo x="2681" y="15313"/>
              <wp:lineTo x="20227" y="14617"/>
              <wp:lineTo x="20471" y="6960"/>
              <wp:lineTo x="6580" y="2784"/>
              <wp:lineTo x="2681" y="2784"/>
            </wp:wrapPolygon>
          </wp:wrapThrough>
          <wp:docPr id="352803371" name="Imagen 352803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4DB3" w14:textId="78D2A889" w:rsidR="004C016A" w:rsidRPr="00140DAF" w:rsidRDefault="009A0563" w:rsidP="00E70500">
    <w:pPr>
      <w:pStyle w:val="DBodytext"/>
      <w:rPr>
        <w:rFonts w:cs="IberPangea Text"/>
        <w:sz w:val="24"/>
        <w:szCs w:val="24"/>
      </w:rPr>
    </w:pPr>
    <w:r>
      <w:rPr>
        <w:rFonts w:cs="IberPangea Text"/>
        <w:noProof/>
      </w:rPr>
      <w:drawing>
        <wp:anchor distT="0" distB="0" distL="114300" distR="114300" simplePos="0" relativeHeight="251660800" behindDoc="1" locked="0" layoutInCell="1" allowOverlap="1" wp14:anchorId="649FDF60" wp14:editId="1B4A098F">
          <wp:simplePos x="0" y="0"/>
          <wp:positionH relativeFrom="column">
            <wp:posOffset>1393825</wp:posOffset>
          </wp:positionH>
          <wp:positionV relativeFrom="paragraph">
            <wp:posOffset>-354330</wp:posOffset>
          </wp:positionV>
          <wp:extent cx="1708150" cy="960755"/>
          <wp:effectExtent l="0" t="0" r="6350" b="0"/>
          <wp:wrapNone/>
          <wp:docPr id="1584989997" name="Imagen 3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989997" name="Imagen 3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B57">
      <w:rPr>
        <w:rFonts w:cstheme="minorHAnsi"/>
        <w:caps/>
        <w:noProof/>
      </w:rPr>
      <w:drawing>
        <wp:anchor distT="0" distB="0" distL="114300" distR="114300" simplePos="0" relativeHeight="251659776" behindDoc="1" locked="0" layoutInCell="1" allowOverlap="1" wp14:anchorId="1BB8D972" wp14:editId="4498955E">
          <wp:simplePos x="0" y="0"/>
          <wp:positionH relativeFrom="margin">
            <wp:posOffset>3973830</wp:posOffset>
          </wp:positionH>
          <wp:positionV relativeFrom="paragraph">
            <wp:posOffset>-132715</wp:posOffset>
          </wp:positionV>
          <wp:extent cx="1685925" cy="594995"/>
          <wp:effectExtent l="0" t="0" r="0" b="0"/>
          <wp:wrapTight wrapText="bothSides">
            <wp:wrapPolygon edited="0">
              <wp:start x="2685" y="2766"/>
              <wp:lineTo x="1220" y="9682"/>
              <wp:lineTo x="1220" y="17981"/>
              <wp:lineTo x="2685" y="17981"/>
              <wp:lineTo x="2685" y="15215"/>
              <wp:lineTo x="20258" y="14523"/>
              <wp:lineTo x="20502" y="6916"/>
              <wp:lineTo x="6590" y="2766"/>
              <wp:lineTo x="2685" y="2766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DAF" w:rsidRPr="00140DAF">
      <w:rPr>
        <w:rFonts w:cs="IberPangea Text"/>
      </w:rPr>
      <w:t>Nota de prensa</w:t>
    </w:r>
    <w:r w:rsidR="00140DAF" w:rsidRPr="00140DAF">
      <w:rPr>
        <w:rFonts w:cs="IberPangea Text"/>
      </w:rPr>
      <w:br/>
    </w:r>
    <w:r w:rsidR="000D69E8">
      <w:rPr>
        <w:rFonts w:cs="IberPangea Text"/>
      </w:rPr>
      <w:t>06</w:t>
    </w:r>
    <w:r w:rsidR="005D28B2">
      <w:rPr>
        <w:rFonts w:cs="IberPangea Text"/>
      </w:rPr>
      <w:t xml:space="preserve"> de </w:t>
    </w:r>
    <w:r w:rsidR="0076677E">
      <w:rPr>
        <w:rFonts w:cs="IberPangea Text"/>
      </w:rPr>
      <w:t>agosto</w:t>
    </w:r>
    <w:r w:rsidR="00140DAF" w:rsidRPr="00140DAF">
      <w:rPr>
        <w:rFonts w:cs="IberPangea Text"/>
      </w:rPr>
      <w:t xml:space="preserve"> de 202</w:t>
    </w:r>
    <w:r w:rsidR="007549B1">
      <w:rPr>
        <w:rFonts w:cs="IberPangea Tex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533B"/>
    <w:multiLevelType w:val="hybridMultilevel"/>
    <w:tmpl w:val="4C000E1C"/>
    <w:numStyleLink w:val="Vieta"/>
  </w:abstractNum>
  <w:abstractNum w:abstractNumId="3" w15:restartNumberingAfterBreak="0">
    <w:nsid w:val="77B23134"/>
    <w:multiLevelType w:val="hybridMultilevel"/>
    <w:tmpl w:val="3612A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65529">
    <w:abstractNumId w:val="1"/>
  </w:num>
  <w:num w:numId="2" w16cid:durableId="316305650">
    <w:abstractNumId w:val="0"/>
  </w:num>
  <w:num w:numId="3" w16cid:durableId="1079407345">
    <w:abstractNumId w:val="2"/>
  </w:num>
  <w:num w:numId="4" w16cid:durableId="689063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AF"/>
    <w:rsid w:val="00012E2C"/>
    <w:rsid w:val="000220B1"/>
    <w:rsid w:val="0002340E"/>
    <w:rsid w:val="000270E4"/>
    <w:rsid w:val="00033FE5"/>
    <w:rsid w:val="000458A5"/>
    <w:rsid w:val="000466F0"/>
    <w:rsid w:val="000525CA"/>
    <w:rsid w:val="00072B6D"/>
    <w:rsid w:val="00082EC2"/>
    <w:rsid w:val="00083ECA"/>
    <w:rsid w:val="000919B8"/>
    <w:rsid w:val="000A0363"/>
    <w:rsid w:val="000A5722"/>
    <w:rsid w:val="000A669F"/>
    <w:rsid w:val="000B16E6"/>
    <w:rsid w:val="000C1E25"/>
    <w:rsid w:val="000D02B6"/>
    <w:rsid w:val="000D1469"/>
    <w:rsid w:val="000D69E8"/>
    <w:rsid w:val="000E1483"/>
    <w:rsid w:val="000E33B7"/>
    <w:rsid w:val="000E6E4C"/>
    <w:rsid w:val="000F629F"/>
    <w:rsid w:val="00111C1D"/>
    <w:rsid w:val="001120F8"/>
    <w:rsid w:val="001231E6"/>
    <w:rsid w:val="00124D9C"/>
    <w:rsid w:val="001269A1"/>
    <w:rsid w:val="001335DA"/>
    <w:rsid w:val="0013433D"/>
    <w:rsid w:val="00136041"/>
    <w:rsid w:val="00140629"/>
    <w:rsid w:val="00140DAF"/>
    <w:rsid w:val="0015349E"/>
    <w:rsid w:val="0015721B"/>
    <w:rsid w:val="0016523D"/>
    <w:rsid w:val="00167C69"/>
    <w:rsid w:val="00176D45"/>
    <w:rsid w:val="0017714C"/>
    <w:rsid w:val="00185076"/>
    <w:rsid w:val="001865AC"/>
    <w:rsid w:val="001900E9"/>
    <w:rsid w:val="00193162"/>
    <w:rsid w:val="00195559"/>
    <w:rsid w:val="001B2BFA"/>
    <w:rsid w:val="001C01E4"/>
    <w:rsid w:val="001C04CA"/>
    <w:rsid w:val="001C3DF9"/>
    <w:rsid w:val="001D3572"/>
    <w:rsid w:val="001D6906"/>
    <w:rsid w:val="001E37EC"/>
    <w:rsid w:val="001E4CD1"/>
    <w:rsid w:val="001F34DD"/>
    <w:rsid w:val="00206F8B"/>
    <w:rsid w:val="002222FF"/>
    <w:rsid w:val="00222AEC"/>
    <w:rsid w:val="0022502C"/>
    <w:rsid w:val="00227B1E"/>
    <w:rsid w:val="00227CE6"/>
    <w:rsid w:val="002407CB"/>
    <w:rsid w:val="002412E5"/>
    <w:rsid w:val="0024355F"/>
    <w:rsid w:val="00251F22"/>
    <w:rsid w:val="00252493"/>
    <w:rsid w:val="00260D87"/>
    <w:rsid w:val="00262CDE"/>
    <w:rsid w:val="00277D97"/>
    <w:rsid w:val="00280855"/>
    <w:rsid w:val="002904D9"/>
    <w:rsid w:val="00292A68"/>
    <w:rsid w:val="00294C02"/>
    <w:rsid w:val="002962C8"/>
    <w:rsid w:val="002B2D0A"/>
    <w:rsid w:val="002B59A0"/>
    <w:rsid w:val="002C012E"/>
    <w:rsid w:val="002C3737"/>
    <w:rsid w:val="002C485B"/>
    <w:rsid w:val="002D0661"/>
    <w:rsid w:val="002D33ED"/>
    <w:rsid w:val="002E3F15"/>
    <w:rsid w:val="002F1BC0"/>
    <w:rsid w:val="00300747"/>
    <w:rsid w:val="00305451"/>
    <w:rsid w:val="00305712"/>
    <w:rsid w:val="0031037D"/>
    <w:rsid w:val="003302B1"/>
    <w:rsid w:val="0033758A"/>
    <w:rsid w:val="003539C9"/>
    <w:rsid w:val="0036136F"/>
    <w:rsid w:val="00376BE5"/>
    <w:rsid w:val="00377D45"/>
    <w:rsid w:val="00387DDC"/>
    <w:rsid w:val="003A7A03"/>
    <w:rsid w:val="003A7C22"/>
    <w:rsid w:val="003B6000"/>
    <w:rsid w:val="003D5E6E"/>
    <w:rsid w:val="003E3BE9"/>
    <w:rsid w:val="003F1284"/>
    <w:rsid w:val="003F1D28"/>
    <w:rsid w:val="003F72EF"/>
    <w:rsid w:val="00412A75"/>
    <w:rsid w:val="00424C80"/>
    <w:rsid w:val="004347F9"/>
    <w:rsid w:val="00444B4D"/>
    <w:rsid w:val="00446D9B"/>
    <w:rsid w:val="00460C2E"/>
    <w:rsid w:val="00463356"/>
    <w:rsid w:val="00484428"/>
    <w:rsid w:val="0048781D"/>
    <w:rsid w:val="004946B6"/>
    <w:rsid w:val="004B32A0"/>
    <w:rsid w:val="004B44D1"/>
    <w:rsid w:val="004C016A"/>
    <w:rsid w:val="004C0D43"/>
    <w:rsid w:val="004C4608"/>
    <w:rsid w:val="004D1338"/>
    <w:rsid w:val="004D1859"/>
    <w:rsid w:val="004D366E"/>
    <w:rsid w:val="00517EA8"/>
    <w:rsid w:val="00526C50"/>
    <w:rsid w:val="00532ED6"/>
    <w:rsid w:val="00544928"/>
    <w:rsid w:val="00546714"/>
    <w:rsid w:val="0056360D"/>
    <w:rsid w:val="00565107"/>
    <w:rsid w:val="0057609A"/>
    <w:rsid w:val="005936EA"/>
    <w:rsid w:val="0059609E"/>
    <w:rsid w:val="005A2512"/>
    <w:rsid w:val="005A4C84"/>
    <w:rsid w:val="005B0A95"/>
    <w:rsid w:val="005C090C"/>
    <w:rsid w:val="005C2D0C"/>
    <w:rsid w:val="005C68EE"/>
    <w:rsid w:val="005D28B2"/>
    <w:rsid w:val="005D4051"/>
    <w:rsid w:val="005E1D2B"/>
    <w:rsid w:val="005E5762"/>
    <w:rsid w:val="005F1F3D"/>
    <w:rsid w:val="005F4667"/>
    <w:rsid w:val="005F7316"/>
    <w:rsid w:val="00607B88"/>
    <w:rsid w:val="00615287"/>
    <w:rsid w:val="00620109"/>
    <w:rsid w:val="00624A72"/>
    <w:rsid w:val="0064225C"/>
    <w:rsid w:val="00664621"/>
    <w:rsid w:val="006667DF"/>
    <w:rsid w:val="00667218"/>
    <w:rsid w:val="00670B62"/>
    <w:rsid w:val="00672705"/>
    <w:rsid w:val="006735D7"/>
    <w:rsid w:val="00680814"/>
    <w:rsid w:val="00691DF1"/>
    <w:rsid w:val="00697E25"/>
    <w:rsid w:val="006B2A06"/>
    <w:rsid w:val="006B337E"/>
    <w:rsid w:val="006B7D0E"/>
    <w:rsid w:val="006C34C8"/>
    <w:rsid w:val="006D1C95"/>
    <w:rsid w:val="006E0415"/>
    <w:rsid w:val="006E1CEA"/>
    <w:rsid w:val="006E53A2"/>
    <w:rsid w:val="006E56BA"/>
    <w:rsid w:val="006E753E"/>
    <w:rsid w:val="00700E49"/>
    <w:rsid w:val="00712019"/>
    <w:rsid w:val="0071284E"/>
    <w:rsid w:val="00715529"/>
    <w:rsid w:val="00715F9F"/>
    <w:rsid w:val="0072366F"/>
    <w:rsid w:val="007272F9"/>
    <w:rsid w:val="007322F4"/>
    <w:rsid w:val="00733431"/>
    <w:rsid w:val="00735826"/>
    <w:rsid w:val="00736EE8"/>
    <w:rsid w:val="007403AF"/>
    <w:rsid w:val="007507BB"/>
    <w:rsid w:val="007529F9"/>
    <w:rsid w:val="007549B1"/>
    <w:rsid w:val="007553BF"/>
    <w:rsid w:val="00762F68"/>
    <w:rsid w:val="007635DB"/>
    <w:rsid w:val="0076362B"/>
    <w:rsid w:val="0076677E"/>
    <w:rsid w:val="00783401"/>
    <w:rsid w:val="00785A9B"/>
    <w:rsid w:val="00790281"/>
    <w:rsid w:val="00791C32"/>
    <w:rsid w:val="007B20EE"/>
    <w:rsid w:val="007C65A3"/>
    <w:rsid w:val="007D04CD"/>
    <w:rsid w:val="007E494D"/>
    <w:rsid w:val="007F116D"/>
    <w:rsid w:val="007F28D7"/>
    <w:rsid w:val="00800F0A"/>
    <w:rsid w:val="00801EFA"/>
    <w:rsid w:val="00802C06"/>
    <w:rsid w:val="00811017"/>
    <w:rsid w:val="00817286"/>
    <w:rsid w:val="00824442"/>
    <w:rsid w:val="00825D1F"/>
    <w:rsid w:val="00826E1E"/>
    <w:rsid w:val="00826E46"/>
    <w:rsid w:val="00835072"/>
    <w:rsid w:val="00843D79"/>
    <w:rsid w:val="00846A8C"/>
    <w:rsid w:val="00854104"/>
    <w:rsid w:val="00860127"/>
    <w:rsid w:val="00861EA0"/>
    <w:rsid w:val="00862768"/>
    <w:rsid w:val="0086461A"/>
    <w:rsid w:val="00864FD0"/>
    <w:rsid w:val="008709D4"/>
    <w:rsid w:val="00874234"/>
    <w:rsid w:val="00875A74"/>
    <w:rsid w:val="0088406C"/>
    <w:rsid w:val="00887C7A"/>
    <w:rsid w:val="00887C84"/>
    <w:rsid w:val="00890FE8"/>
    <w:rsid w:val="0089230C"/>
    <w:rsid w:val="00894838"/>
    <w:rsid w:val="00895366"/>
    <w:rsid w:val="008A4B77"/>
    <w:rsid w:val="008A4C00"/>
    <w:rsid w:val="008A7430"/>
    <w:rsid w:val="008B2EDA"/>
    <w:rsid w:val="008B3AE0"/>
    <w:rsid w:val="008C1E94"/>
    <w:rsid w:val="008D07A6"/>
    <w:rsid w:val="008E4761"/>
    <w:rsid w:val="008E5284"/>
    <w:rsid w:val="008F43EA"/>
    <w:rsid w:val="009007B1"/>
    <w:rsid w:val="00903323"/>
    <w:rsid w:val="0090462B"/>
    <w:rsid w:val="0090573D"/>
    <w:rsid w:val="009064F6"/>
    <w:rsid w:val="00926A89"/>
    <w:rsid w:val="0093273D"/>
    <w:rsid w:val="009331CD"/>
    <w:rsid w:val="00956D24"/>
    <w:rsid w:val="00957B3E"/>
    <w:rsid w:val="00964763"/>
    <w:rsid w:val="0096480D"/>
    <w:rsid w:val="00974A97"/>
    <w:rsid w:val="009766DC"/>
    <w:rsid w:val="00992C9D"/>
    <w:rsid w:val="009942F7"/>
    <w:rsid w:val="009A0563"/>
    <w:rsid w:val="009A0AB0"/>
    <w:rsid w:val="009A2D77"/>
    <w:rsid w:val="009B460D"/>
    <w:rsid w:val="009C018C"/>
    <w:rsid w:val="009C68E9"/>
    <w:rsid w:val="009D38B5"/>
    <w:rsid w:val="009D4847"/>
    <w:rsid w:val="009F4F73"/>
    <w:rsid w:val="009F72FF"/>
    <w:rsid w:val="009F7C9C"/>
    <w:rsid w:val="00A018B8"/>
    <w:rsid w:val="00A02810"/>
    <w:rsid w:val="00A05DBB"/>
    <w:rsid w:val="00A128F2"/>
    <w:rsid w:val="00A14AD1"/>
    <w:rsid w:val="00A14FC0"/>
    <w:rsid w:val="00A15316"/>
    <w:rsid w:val="00A2151B"/>
    <w:rsid w:val="00A22A72"/>
    <w:rsid w:val="00A23351"/>
    <w:rsid w:val="00A271DB"/>
    <w:rsid w:val="00A32C0E"/>
    <w:rsid w:val="00A37107"/>
    <w:rsid w:val="00A4741E"/>
    <w:rsid w:val="00A53AF5"/>
    <w:rsid w:val="00A555B4"/>
    <w:rsid w:val="00A645EA"/>
    <w:rsid w:val="00A678F5"/>
    <w:rsid w:val="00A67FCD"/>
    <w:rsid w:val="00A7707B"/>
    <w:rsid w:val="00A838A2"/>
    <w:rsid w:val="00AB2DEE"/>
    <w:rsid w:val="00AB5EA6"/>
    <w:rsid w:val="00AD77C3"/>
    <w:rsid w:val="00AF088A"/>
    <w:rsid w:val="00AF0996"/>
    <w:rsid w:val="00B0629F"/>
    <w:rsid w:val="00B1499E"/>
    <w:rsid w:val="00B15BD5"/>
    <w:rsid w:val="00B163A7"/>
    <w:rsid w:val="00B341C2"/>
    <w:rsid w:val="00B41504"/>
    <w:rsid w:val="00B4744E"/>
    <w:rsid w:val="00B52095"/>
    <w:rsid w:val="00B532DD"/>
    <w:rsid w:val="00BA15F4"/>
    <w:rsid w:val="00BA1EF8"/>
    <w:rsid w:val="00BA2EEA"/>
    <w:rsid w:val="00BB2C1E"/>
    <w:rsid w:val="00BB4D8E"/>
    <w:rsid w:val="00BB720D"/>
    <w:rsid w:val="00BC5451"/>
    <w:rsid w:val="00BD1273"/>
    <w:rsid w:val="00BD22B6"/>
    <w:rsid w:val="00BD4E38"/>
    <w:rsid w:val="00C07D95"/>
    <w:rsid w:val="00C1072D"/>
    <w:rsid w:val="00C3125D"/>
    <w:rsid w:val="00C400B4"/>
    <w:rsid w:val="00C436D9"/>
    <w:rsid w:val="00C47E56"/>
    <w:rsid w:val="00C54171"/>
    <w:rsid w:val="00C60574"/>
    <w:rsid w:val="00C616DE"/>
    <w:rsid w:val="00C61E9D"/>
    <w:rsid w:val="00C717B4"/>
    <w:rsid w:val="00C80980"/>
    <w:rsid w:val="00C82036"/>
    <w:rsid w:val="00C821A8"/>
    <w:rsid w:val="00C835BA"/>
    <w:rsid w:val="00C96E98"/>
    <w:rsid w:val="00CA0CDD"/>
    <w:rsid w:val="00CC27C2"/>
    <w:rsid w:val="00CC282A"/>
    <w:rsid w:val="00D01D8D"/>
    <w:rsid w:val="00D01D9F"/>
    <w:rsid w:val="00D06E6D"/>
    <w:rsid w:val="00D126A9"/>
    <w:rsid w:val="00D22FDF"/>
    <w:rsid w:val="00D2709C"/>
    <w:rsid w:val="00D40F6E"/>
    <w:rsid w:val="00D470EB"/>
    <w:rsid w:val="00D47B05"/>
    <w:rsid w:val="00D556D9"/>
    <w:rsid w:val="00D56535"/>
    <w:rsid w:val="00D60B28"/>
    <w:rsid w:val="00D631F6"/>
    <w:rsid w:val="00D64DDF"/>
    <w:rsid w:val="00D74869"/>
    <w:rsid w:val="00D93142"/>
    <w:rsid w:val="00D95316"/>
    <w:rsid w:val="00DC3E36"/>
    <w:rsid w:val="00DC4233"/>
    <w:rsid w:val="00DC64F0"/>
    <w:rsid w:val="00DD171B"/>
    <w:rsid w:val="00DD6644"/>
    <w:rsid w:val="00DF1552"/>
    <w:rsid w:val="00DF501C"/>
    <w:rsid w:val="00DF5E9C"/>
    <w:rsid w:val="00E01757"/>
    <w:rsid w:val="00E04E2B"/>
    <w:rsid w:val="00E31A16"/>
    <w:rsid w:val="00E33817"/>
    <w:rsid w:val="00E33BEA"/>
    <w:rsid w:val="00E352AD"/>
    <w:rsid w:val="00E643C0"/>
    <w:rsid w:val="00E6507B"/>
    <w:rsid w:val="00E66D27"/>
    <w:rsid w:val="00E70BCA"/>
    <w:rsid w:val="00E93BC8"/>
    <w:rsid w:val="00E9704C"/>
    <w:rsid w:val="00EA5CA3"/>
    <w:rsid w:val="00EB152F"/>
    <w:rsid w:val="00EB577E"/>
    <w:rsid w:val="00EC01B3"/>
    <w:rsid w:val="00EC696C"/>
    <w:rsid w:val="00ED3049"/>
    <w:rsid w:val="00EE7F82"/>
    <w:rsid w:val="00F13BA3"/>
    <w:rsid w:val="00F20151"/>
    <w:rsid w:val="00F433EC"/>
    <w:rsid w:val="00F43735"/>
    <w:rsid w:val="00F508CB"/>
    <w:rsid w:val="00F56753"/>
    <w:rsid w:val="00F56E25"/>
    <w:rsid w:val="00F640F1"/>
    <w:rsid w:val="00F7506F"/>
    <w:rsid w:val="00F80D6B"/>
    <w:rsid w:val="00F81AC1"/>
    <w:rsid w:val="00F86DD6"/>
    <w:rsid w:val="00F87A54"/>
    <w:rsid w:val="00F9157F"/>
    <w:rsid w:val="00F950B7"/>
    <w:rsid w:val="00FA2559"/>
    <w:rsid w:val="00FA3A56"/>
    <w:rsid w:val="00FA7356"/>
    <w:rsid w:val="00FB7A54"/>
    <w:rsid w:val="00FC43E7"/>
    <w:rsid w:val="00FE1FBA"/>
    <w:rsid w:val="00FF027F"/>
    <w:rsid w:val="00FF2A7F"/>
    <w:rsid w:val="00FF549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D74DA"/>
  <w15:chartTrackingRefBased/>
  <w15:docId w15:val="{DF8438C6-D7E8-4AEF-8922-310C35DC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DAF"/>
    <w:pPr>
      <w:tabs>
        <w:tab w:val="center" w:pos="4252"/>
        <w:tab w:val="right" w:pos="8504"/>
      </w:tabs>
      <w:spacing w:after="0" w:line="240" w:lineRule="auto"/>
    </w:pPr>
    <w:rPr>
      <w:rFonts w:ascii="IberPangea Text Light" w:hAnsi="IberPangea Text Light" w:cs="Times New Roman (Cuerpo en alfa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rsid w:val="00140DAF"/>
    <w:rPr>
      <w:rFonts w:ascii="IberPangea Text Light" w:hAnsi="IberPangea Text Light" w:cs="Times New Roman (Cuerpo en alfa"/>
      <w:szCs w:val="32"/>
    </w:rPr>
  </w:style>
  <w:style w:type="paragraph" w:customStyle="1" w:styleId="DBodytext">
    <w:name w:val="D.Body text"/>
    <w:basedOn w:val="NormalWeb"/>
    <w:link w:val="DBodytextChar"/>
    <w:qFormat/>
    <w:rsid w:val="00140DAF"/>
    <w:pPr>
      <w:spacing w:before="120" w:after="120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140DAF"/>
    <w:rPr>
      <w:rFonts w:ascii="IberPangea Text Light" w:eastAsia="Times New Roman" w:hAnsi="IberPangea Text Light" w:cs="Times New Roman"/>
      <w:color w:val="000000"/>
      <w:sz w:val="20"/>
      <w:lang w:eastAsia="es-ES"/>
    </w:rPr>
  </w:style>
  <w:style w:type="paragraph" w:customStyle="1" w:styleId="MFootnote">
    <w:name w:val="M.Footnote"/>
    <w:basedOn w:val="Normal"/>
    <w:link w:val="MFootnoteChar"/>
    <w:qFormat/>
    <w:rsid w:val="00140DAF"/>
    <w:pPr>
      <w:autoSpaceDE w:val="0"/>
      <w:autoSpaceDN w:val="0"/>
      <w:adjustRightInd w:val="0"/>
      <w:spacing w:after="0" w:line="240" w:lineRule="auto"/>
    </w:pPr>
    <w:rPr>
      <w:rFonts w:ascii="IberPangea Text Light" w:hAnsi="IberPangea Text Light" w:cs="Times New Roman"/>
      <w:iCs/>
      <w:color w:val="00402A"/>
      <w:sz w:val="16"/>
      <w:szCs w:val="14"/>
    </w:rPr>
  </w:style>
  <w:style w:type="character" w:customStyle="1" w:styleId="MFootnoteChar">
    <w:name w:val="M.Footnote Char"/>
    <w:basedOn w:val="Fuentedeprrafopredeter"/>
    <w:link w:val="MFootnote"/>
    <w:rsid w:val="00140DAF"/>
    <w:rPr>
      <w:rFonts w:ascii="IberPangea Text Light" w:hAnsi="IberPangea Text Light" w:cs="Times New Roman"/>
      <w:iCs/>
      <w:color w:val="00402A"/>
      <w:sz w:val="16"/>
      <w:szCs w:val="14"/>
    </w:rPr>
  </w:style>
  <w:style w:type="paragraph" w:styleId="NormalWeb">
    <w:name w:val="Normal (Web)"/>
    <w:basedOn w:val="Normal"/>
    <w:uiPriority w:val="99"/>
    <w:unhideWhenUsed/>
    <w:rsid w:val="00140DA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0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4D9"/>
  </w:style>
  <w:style w:type="character" w:styleId="Hipervnculo">
    <w:name w:val="Hyperlink"/>
    <w:basedOn w:val="Fuentedeprrafopredeter"/>
    <w:unhideWhenUsed/>
    <w:rsid w:val="003F72EF"/>
    <w:rPr>
      <w:color w:val="0000FF" w:themeColor="hyperlink"/>
      <w:u w:val="single"/>
    </w:rPr>
  </w:style>
  <w:style w:type="paragraph" w:customStyle="1" w:styleId="CuerpoA">
    <w:name w:val="Cuerpo A"/>
    <w:rsid w:val="00A05DBB"/>
    <w:pP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lang w:val="es-ES_tradnl" w:eastAsia="es-ES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inguno">
    <w:name w:val="Ninguno"/>
    <w:rsid w:val="00A05DBB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33758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90FE8"/>
    <w:pPr>
      <w:ind w:left="720"/>
      <w:contextualSpacing/>
    </w:pPr>
  </w:style>
  <w:style w:type="paragraph" w:styleId="Revisin">
    <w:name w:val="Revision"/>
    <w:hidden/>
    <w:uiPriority w:val="99"/>
    <w:semiHidden/>
    <w:rsid w:val="0057609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046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46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46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46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462B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F640F1"/>
  </w:style>
  <w:style w:type="paragraph" w:customStyle="1" w:styleId="Poromisin">
    <w:name w:val="Por omisión"/>
    <w:rsid w:val="009327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93273D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96480D"/>
    <w:rPr>
      <w:b/>
      <w:bCs/>
    </w:rPr>
  </w:style>
  <w:style w:type="table" w:styleId="Tablaconcuadrcula">
    <w:name w:val="Table Grid"/>
    <w:basedOn w:val="Tablanormal"/>
    <w:uiPriority w:val="59"/>
    <w:rsid w:val="004C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E648944EA9E4788D51E1A6C631492" ma:contentTypeVersion="10" ma:contentTypeDescription="Crear nuevo documento." ma:contentTypeScope="" ma:versionID="4ca6b2d827e85db44e1de6514c787ed5">
  <xsd:schema xmlns:xsd="http://www.w3.org/2001/XMLSchema" xmlns:xs="http://www.w3.org/2001/XMLSchema" xmlns:p="http://schemas.microsoft.com/office/2006/metadata/properties" xmlns:ns2="8c6037b3-b4cf-4425-8e81-20ce64fbfa41" xmlns:ns3="c0915918-66b2-4f9a-abb8-c15814919583" targetNamespace="http://schemas.microsoft.com/office/2006/metadata/properties" ma:root="true" ma:fieldsID="f536cac8b4a14eaa3448ba8e2c435ae5" ns2:_="" ns3:_="">
    <xsd:import namespace="8c6037b3-b4cf-4425-8e81-20ce64fbfa41"/>
    <xsd:import namespace="c0915918-66b2-4f9a-abb8-c15814919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037b3-b4cf-4425-8e81-20ce64fbf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84e374b-9a04-4d73-a251-4ce1ae2c8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5918-66b2-4f9a-abb8-c158149195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37c8c-e4ba-406c-bfa2-432e384a33f3}" ma:internalName="TaxCatchAll" ma:showField="CatchAllData" ma:web="c0915918-66b2-4f9a-abb8-c15814919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61028-601E-4B9D-BB32-3054EE877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037b3-b4cf-4425-8e81-20ce64fbfa41"/>
    <ds:schemaRef ds:uri="c0915918-66b2-4f9a-abb8-c15814919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6C038-089D-44C1-A330-5F27E8AF3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898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IBERDROLA S.A.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Boyer, Juan Jose</dc:creator>
  <cp:keywords/>
  <dc:description/>
  <cp:lastModifiedBy>RIVAS MORENO, SARA</cp:lastModifiedBy>
  <cp:revision>6</cp:revision>
  <cp:lastPrinted>2024-01-17T15:04:00Z</cp:lastPrinted>
  <dcterms:created xsi:type="dcterms:W3CDTF">2025-08-05T08:45:00Z</dcterms:created>
  <dcterms:modified xsi:type="dcterms:W3CDTF">2025-08-05T14:11:00Z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2023-05-24T09:53:59Z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12bd0b3a-f2f2-468c-8aa5-357294cd8f13</vt:lpwstr>
  </property>
  <property fmtid="{D5CDD505-2E9C-101B-9397-08002B2CF9AE}" pid="8" name="MSIP_Label_624b1752-a977-4927-b9e6-e48a43684aee_ContentBits">
    <vt:lpwstr>0</vt:lpwstr>
  </property>
  <property fmtid="{D5CDD505-2E9C-101B-9397-08002B2CF9AE}" pid="9" name="_NewReviewCycle">
    <vt:lpwstr/>
  </property>
</Properties>
</file>